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C65D" w14:textId="2F97E1EE" w:rsidR="00365CC5" w:rsidRPr="00E8656A" w:rsidRDefault="00E8656A">
      <w:pPr>
        <w:rPr>
          <w:b/>
          <w:bCs/>
          <w:color w:val="2E74B5" w:themeColor="accent5" w:themeShade="BF"/>
          <w:sz w:val="48"/>
          <w:szCs w:val="48"/>
        </w:rPr>
      </w:pPr>
      <w:r w:rsidRPr="00E8656A">
        <w:rPr>
          <w:b/>
          <w:bCs/>
          <w:color w:val="2E74B5" w:themeColor="accent5" w:themeShade="BF"/>
          <w:sz w:val="48"/>
          <w:szCs w:val="48"/>
        </w:rPr>
        <w:t>POPULATION AND DEMOGRAPHICS</w:t>
      </w:r>
    </w:p>
    <w:p w14:paraId="44A202E1" w14:textId="77777777" w:rsidR="005B3F4B" w:rsidRDefault="005B3F4B">
      <w:pPr>
        <w:rPr>
          <w:b/>
          <w:bCs/>
          <w:color w:val="2E74B5" w:themeColor="accent5" w:themeShade="BF"/>
          <w:sz w:val="40"/>
          <w:szCs w:val="40"/>
        </w:rPr>
      </w:pPr>
    </w:p>
    <w:p w14:paraId="1655400B" w14:textId="5CC3C872" w:rsidR="005B3F4B" w:rsidRPr="00E8656A" w:rsidRDefault="005B3F4B" w:rsidP="005B3F4B">
      <w:pPr>
        <w:rPr>
          <w:b/>
          <w:bCs/>
          <w:color w:val="2E74B5" w:themeColor="accent5" w:themeShade="BF"/>
          <w:sz w:val="40"/>
          <w:szCs w:val="40"/>
        </w:rPr>
      </w:pPr>
      <w:r>
        <w:rPr>
          <w:b/>
          <w:bCs/>
          <w:color w:val="2E74B5" w:themeColor="accent5" w:themeShade="BF"/>
          <w:sz w:val="40"/>
          <w:szCs w:val="40"/>
        </w:rPr>
        <w:t>KEY FINDINGS</w:t>
      </w:r>
    </w:p>
    <w:p w14:paraId="14297035" w14:textId="77777777" w:rsidR="005B3F4B" w:rsidRPr="005B3F4B" w:rsidRDefault="005B3F4B" w:rsidP="005B3F4B"/>
    <w:p w14:paraId="7501194D" w14:textId="320CB08B" w:rsidR="005B3F4B" w:rsidRDefault="005B3F4B" w:rsidP="005B3F4B">
      <w:pPr>
        <w:pStyle w:val="ListParagraph"/>
        <w:numPr>
          <w:ilvl w:val="0"/>
          <w:numId w:val="3"/>
        </w:numPr>
      </w:pPr>
      <w:r>
        <w:t>The median age in Carrabassett Valley has increased, and Carrabassett Valley is older than Franklin County and the state.</w:t>
      </w:r>
    </w:p>
    <w:p w14:paraId="70D0B23F" w14:textId="6C7E6598" w:rsidR="005B3F4B" w:rsidRDefault="005B3F4B" w:rsidP="005B3F4B">
      <w:pPr>
        <w:pStyle w:val="ListParagraph"/>
        <w:numPr>
          <w:ilvl w:val="0"/>
          <w:numId w:val="3"/>
        </w:numPr>
      </w:pPr>
      <w:r>
        <w:t>Total housing units increased, both owner- occupied and vacant</w:t>
      </w:r>
      <w:r w:rsidR="0005125F">
        <w:t>.</w:t>
      </w:r>
    </w:p>
    <w:p w14:paraId="567B2330" w14:textId="480C77D2" w:rsidR="005B3F4B" w:rsidRDefault="005B3F4B" w:rsidP="005B3F4B">
      <w:pPr>
        <w:pStyle w:val="ListParagraph"/>
        <w:numPr>
          <w:ilvl w:val="0"/>
          <w:numId w:val="3"/>
        </w:numPr>
      </w:pPr>
      <w:r>
        <w:t>There was an increase in overall households, particularly non-family households</w:t>
      </w:r>
      <w:r w:rsidR="0005125F">
        <w:t>.</w:t>
      </w:r>
    </w:p>
    <w:p w14:paraId="24B99BF1" w14:textId="77777777" w:rsidR="005B3F4B" w:rsidRDefault="005B3F4B" w:rsidP="005B3F4B">
      <w:pPr>
        <w:pStyle w:val="ListParagraph"/>
        <w:numPr>
          <w:ilvl w:val="0"/>
          <w:numId w:val="3"/>
        </w:numPr>
      </w:pPr>
      <w:r>
        <w:t>Maine State Economist and the U.S. Census indicate that the population grew substantially and in now either declining or leveling off.</w:t>
      </w:r>
    </w:p>
    <w:p w14:paraId="0BAE0D1E" w14:textId="215D9A05" w:rsidR="005B3F4B" w:rsidRDefault="005B3F4B" w:rsidP="005B3F4B">
      <w:pPr>
        <w:pStyle w:val="ListParagraph"/>
        <w:numPr>
          <w:ilvl w:val="0"/>
          <w:numId w:val="3"/>
        </w:numPr>
      </w:pPr>
      <w:r>
        <w:t>Carrabassett Valley is predominantly white</w:t>
      </w:r>
      <w:r w:rsidR="0005125F">
        <w:t>.</w:t>
      </w:r>
    </w:p>
    <w:p w14:paraId="195BFF03" w14:textId="422D811B" w:rsidR="005B3F4B" w:rsidRDefault="005B3F4B" w:rsidP="005B3F4B">
      <w:pPr>
        <w:pStyle w:val="ListParagraph"/>
        <w:numPr>
          <w:ilvl w:val="0"/>
          <w:numId w:val="3"/>
        </w:numPr>
      </w:pPr>
      <w:r>
        <w:t xml:space="preserve">Carrabassett Valley has high levels of educational attainment – 70% of the population has a </w:t>
      </w:r>
      <w:r w:rsidR="0005125F">
        <w:t>bachelor’s</w:t>
      </w:r>
      <w:r>
        <w:t xml:space="preserve"> degree or higher</w:t>
      </w:r>
      <w:r w:rsidR="0005125F">
        <w:t>.</w:t>
      </w:r>
    </w:p>
    <w:p w14:paraId="59D4DE55" w14:textId="66BECC76" w:rsidR="005B3F4B" w:rsidRDefault="005B3F4B" w:rsidP="005B3F4B">
      <w:pPr>
        <w:pStyle w:val="ListParagraph"/>
        <w:numPr>
          <w:ilvl w:val="0"/>
          <w:numId w:val="3"/>
        </w:numPr>
      </w:pPr>
      <w:r>
        <w:t>Over half of the population is married and over half of the households are family households, though smaller family sizes</w:t>
      </w:r>
      <w:r w:rsidR="0005125F">
        <w:t>.</w:t>
      </w:r>
    </w:p>
    <w:p w14:paraId="53AF2B47" w14:textId="5E70378F" w:rsidR="005B3F4B" w:rsidRPr="005B3F4B" w:rsidRDefault="005B3F4B" w:rsidP="005B3F4B">
      <w:pPr>
        <w:pStyle w:val="ListParagraph"/>
        <w:numPr>
          <w:ilvl w:val="0"/>
          <w:numId w:val="3"/>
        </w:numPr>
      </w:pPr>
      <w:r>
        <w:t>The median income in Carrabassett Valley is higher than Franklin County but lower than Maine</w:t>
      </w:r>
      <w:r w:rsidR="0005125F">
        <w:t>.</w:t>
      </w:r>
    </w:p>
    <w:p w14:paraId="32A28DCB" w14:textId="77777777" w:rsidR="005B3F4B" w:rsidRDefault="005B3F4B">
      <w:pPr>
        <w:rPr>
          <w:b/>
          <w:bCs/>
          <w:color w:val="2E74B5" w:themeColor="accent5" w:themeShade="BF"/>
          <w:sz w:val="40"/>
          <w:szCs w:val="40"/>
        </w:rPr>
      </w:pPr>
      <w:r>
        <w:rPr>
          <w:b/>
          <w:bCs/>
          <w:color w:val="2E74B5" w:themeColor="accent5" w:themeShade="BF"/>
          <w:sz w:val="40"/>
          <w:szCs w:val="40"/>
        </w:rPr>
        <w:br w:type="page"/>
      </w:r>
    </w:p>
    <w:p w14:paraId="10BBACE0" w14:textId="4F600B69" w:rsidR="00365CC5" w:rsidRPr="00E8656A" w:rsidRDefault="00E8656A" w:rsidP="00365CC5">
      <w:pPr>
        <w:rPr>
          <w:b/>
          <w:bCs/>
          <w:color w:val="2E74B5" w:themeColor="accent5" w:themeShade="BF"/>
          <w:sz w:val="40"/>
          <w:szCs w:val="40"/>
        </w:rPr>
      </w:pPr>
      <w:r>
        <w:rPr>
          <w:b/>
          <w:bCs/>
          <w:color w:val="2E74B5" w:themeColor="accent5" w:themeShade="BF"/>
          <w:sz w:val="40"/>
          <w:szCs w:val="40"/>
        </w:rPr>
        <w:lastRenderedPageBreak/>
        <w:t>ABOUT THE</w:t>
      </w:r>
      <w:r w:rsidRPr="00E8656A">
        <w:rPr>
          <w:b/>
          <w:bCs/>
          <w:color w:val="2E74B5" w:themeColor="accent5" w:themeShade="BF"/>
          <w:sz w:val="40"/>
          <w:szCs w:val="40"/>
        </w:rPr>
        <w:t xml:space="preserve"> DATA</w:t>
      </w:r>
    </w:p>
    <w:p w14:paraId="36C66283" w14:textId="73F17252" w:rsidR="00365CC5" w:rsidRDefault="00365CC5" w:rsidP="00365CC5">
      <w:r>
        <w:t>Analysis of demographics and population dynamics is a fundamental component of the planning process. These data points help provide a better understanding of the characteristics of a community and attempt to shed light on information that is not always readily apparent. This chapter looks at population and demographic data in order to identify possible trends and noteworthy key findings. It is important to note the challenges and inherent limitations of collecting and analyzing demographic data for small towns, particularly when that data is used for longer-term population projections. All data presented here attempts to create a demographic snapshot and should be viewed as official reference points used in conjunction with local knowledge of recent trends and developments. This chapter primarily relies on four different datasets:</w:t>
      </w:r>
    </w:p>
    <w:p w14:paraId="73BDFC7A" w14:textId="77777777" w:rsidR="00365CC5" w:rsidRDefault="00365CC5" w:rsidP="00365CC5">
      <w:pPr>
        <w:numPr>
          <w:ilvl w:val="0"/>
          <w:numId w:val="1"/>
        </w:numPr>
        <w:pBdr>
          <w:top w:val="nil"/>
          <w:left w:val="nil"/>
          <w:bottom w:val="nil"/>
          <w:right w:val="nil"/>
          <w:between w:val="nil"/>
        </w:pBdr>
        <w:spacing w:after="0" w:line="252" w:lineRule="auto"/>
      </w:pPr>
      <w:r>
        <w:rPr>
          <w:b/>
          <w:color w:val="000000"/>
        </w:rPr>
        <w:t>The Decennial Census.</w:t>
      </w:r>
      <w:r>
        <w:rPr>
          <w:color w:val="000000"/>
        </w:rPr>
        <w:t xml:space="preserve"> The decennial census is program of the United States Census Bureau. The decennial census is conducted once every ten years and attempts count every person living in the 50 states, District of Columbia, and five U.S. territories. This census asks a short set of questions and provides an official count of the population, which determines congressional representation. The most recent decennial census was in 2020.</w:t>
      </w:r>
    </w:p>
    <w:p w14:paraId="5A8BB9B2" w14:textId="77777777" w:rsidR="00365CC5" w:rsidRDefault="00365CC5" w:rsidP="00365CC5">
      <w:pPr>
        <w:numPr>
          <w:ilvl w:val="0"/>
          <w:numId w:val="1"/>
        </w:numPr>
        <w:pBdr>
          <w:top w:val="nil"/>
          <w:left w:val="nil"/>
          <w:bottom w:val="nil"/>
          <w:right w:val="nil"/>
          <w:between w:val="nil"/>
        </w:pBdr>
        <w:spacing w:after="0" w:line="252" w:lineRule="auto"/>
      </w:pPr>
      <w:r>
        <w:rPr>
          <w:b/>
          <w:color w:val="000000"/>
        </w:rPr>
        <w:t>The American Community Survey (ACS).</w:t>
      </w:r>
      <w:r>
        <w:rPr>
          <w:color w:val="000000"/>
        </w:rPr>
        <w:t xml:space="preserve"> The American Community Survey or ACS is conducted every month, every year. This survey is sent to a sample of addresses throughout the country, DC, and Puerto Rico, and collects more detailed information than the decennial census. The ACS asks more in-depth questions about a number of topics such as education, housing, employment, commuting and transportation, and internet access just to name a few. The ACS data is available in one-year, three-year, or five-year datasets. Given that the ACS is a sample survey by design, the data collected includes information about the margins of error for each reported data point. The shorter the time frame, the smaller the sample size and larger the margin of error; likewise, the smaller the community, the higher the margin of error. </w:t>
      </w:r>
    </w:p>
    <w:p w14:paraId="3D5FD8BA" w14:textId="77777777" w:rsidR="00365CC5" w:rsidRDefault="00365CC5" w:rsidP="00365CC5">
      <w:pPr>
        <w:numPr>
          <w:ilvl w:val="0"/>
          <w:numId w:val="1"/>
        </w:numPr>
        <w:pBdr>
          <w:top w:val="nil"/>
          <w:left w:val="nil"/>
          <w:bottom w:val="nil"/>
          <w:right w:val="nil"/>
          <w:between w:val="nil"/>
        </w:pBdr>
        <w:spacing w:after="0" w:line="252" w:lineRule="auto"/>
      </w:pPr>
      <w:r>
        <w:rPr>
          <w:b/>
          <w:color w:val="000000"/>
        </w:rPr>
        <w:t xml:space="preserve">Maine Office of Data, Research, and Vital Statistics. </w:t>
      </w:r>
      <w:r>
        <w:rPr>
          <w:color w:val="000000"/>
        </w:rPr>
        <w:t>The Maine Office of</w:t>
      </w:r>
      <w:r>
        <w:rPr>
          <w:b/>
          <w:color w:val="000000"/>
        </w:rPr>
        <w:t xml:space="preserve"> </w:t>
      </w:r>
      <w:r>
        <w:rPr>
          <w:color w:val="000000"/>
        </w:rPr>
        <w:t xml:space="preserve">Data, Research and Vital Statistics (DRVS) administers Maine's vital statistics system and provides quantitative information for surveillance, planning, policy development, program management and evaluation. It produces detailed population estimates for use within and outside the Department of Health and Human Services and compiles data on health status and health resources. </w:t>
      </w:r>
    </w:p>
    <w:p w14:paraId="210A231A" w14:textId="77777777" w:rsidR="00365CC5" w:rsidRDefault="00365CC5" w:rsidP="00365CC5">
      <w:pPr>
        <w:numPr>
          <w:ilvl w:val="0"/>
          <w:numId w:val="1"/>
        </w:numPr>
        <w:pBdr>
          <w:top w:val="nil"/>
          <w:left w:val="nil"/>
          <w:bottom w:val="nil"/>
          <w:right w:val="nil"/>
          <w:between w:val="nil"/>
        </w:pBdr>
        <w:spacing w:after="200" w:line="252" w:lineRule="auto"/>
      </w:pPr>
      <w:r>
        <w:rPr>
          <w:b/>
          <w:color w:val="000000"/>
        </w:rPr>
        <w:t>The Office of the Maine State Economist.</w:t>
      </w:r>
      <w:r>
        <w:rPr>
          <w:color w:val="000000"/>
        </w:rPr>
        <w:t xml:space="preserve"> The Office of the Maine State Economist conducts ongoing analysis of Maine's economic and demographic conditions to help inform policy decisions. The State Economist creates population projections for the State of Maine and its counties and towns for 5-year intervals to 2038, based on 2018 U.S. Census Bureau population estimates.</w:t>
      </w:r>
    </w:p>
    <w:p w14:paraId="1CF15385" w14:textId="77777777" w:rsidR="00365CC5" w:rsidRDefault="00365CC5" w:rsidP="00365CC5">
      <w:pPr>
        <w:ind w:left="360"/>
      </w:pPr>
      <w:r>
        <w:t>As stated above, the data presented in this chapter comes from different sources and different years based on how the various agencies collect, analyze and report their data, and are noted accordingly.</w:t>
      </w:r>
    </w:p>
    <w:p w14:paraId="3CD69010" w14:textId="1FE151C4" w:rsidR="00365CC5" w:rsidRDefault="00365CC5">
      <w:r>
        <w:br w:type="page"/>
      </w:r>
    </w:p>
    <w:p w14:paraId="220A85D3" w14:textId="1C11F759" w:rsidR="00365CC5" w:rsidRPr="00E8656A" w:rsidRDefault="00C14831">
      <w:pPr>
        <w:rPr>
          <w:b/>
          <w:bCs/>
          <w:color w:val="2E74B5" w:themeColor="accent5" w:themeShade="BF"/>
          <w:sz w:val="40"/>
          <w:szCs w:val="40"/>
        </w:rPr>
      </w:pPr>
      <w:r w:rsidRPr="00E8656A">
        <w:rPr>
          <w:b/>
          <w:bCs/>
          <w:color w:val="2E74B5" w:themeColor="accent5" w:themeShade="BF"/>
          <w:sz w:val="40"/>
          <w:szCs w:val="40"/>
        </w:rPr>
        <w:lastRenderedPageBreak/>
        <w:t>POPULATION SNAPSHOT</w:t>
      </w:r>
    </w:p>
    <w:tbl>
      <w:tblPr>
        <w:tblW w:w="8815" w:type="dxa"/>
        <w:tblLook w:val="04A0" w:firstRow="1" w:lastRow="0" w:firstColumn="1" w:lastColumn="0" w:noHBand="0" w:noVBand="1"/>
      </w:tblPr>
      <w:tblGrid>
        <w:gridCol w:w="3440"/>
        <w:gridCol w:w="1235"/>
        <w:gridCol w:w="1080"/>
        <w:gridCol w:w="1080"/>
        <w:gridCol w:w="1980"/>
      </w:tblGrid>
      <w:tr w:rsidR="00CD1660" w:rsidRPr="004D6640" w14:paraId="6916E819" w14:textId="77777777" w:rsidTr="00DF41D0">
        <w:trPr>
          <w:trHeight w:val="980"/>
        </w:trPr>
        <w:tc>
          <w:tcPr>
            <w:tcW w:w="8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D10A" w14:textId="7899B56B" w:rsidR="00CD1660" w:rsidRPr="008D188C" w:rsidRDefault="00CD1660" w:rsidP="008D188C">
            <w:pPr>
              <w:spacing w:after="0" w:line="240" w:lineRule="auto"/>
              <w:rPr>
                <w:rFonts w:ascii="Calibri" w:eastAsia="Times New Roman" w:hAnsi="Calibri" w:cs="Calibri"/>
                <w:b/>
                <w:bCs/>
                <w:color w:val="000000"/>
                <w:kern w:val="0"/>
                <w:sz w:val="28"/>
                <w:szCs w:val="28"/>
                <w14:ligatures w14:val="none"/>
              </w:rPr>
            </w:pPr>
            <w:r w:rsidRPr="008D188C">
              <w:rPr>
                <w:rFonts w:ascii="Calibri" w:eastAsia="Times New Roman" w:hAnsi="Calibri" w:cs="Calibri"/>
                <w:b/>
                <w:bCs/>
                <w:color w:val="000000"/>
                <w:kern w:val="0"/>
                <w:sz w:val="28"/>
                <w:szCs w:val="28"/>
                <w14:ligatures w14:val="none"/>
              </w:rPr>
              <w:t>Town of Carrabassett Valley</w:t>
            </w:r>
            <w:r w:rsidR="008D188C">
              <w:rPr>
                <w:rFonts w:ascii="Calibri" w:eastAsia="Times New Roman" w:hAnsi="Calibri" w:cs="Calibri"/>
                <w:b/>
                <w:bCs/>
                <w:color w:val="000000"/>
                <w:kern w:val="0"/>
                <w:sz w:val="28"/>
                <w:szCs w:val="28"/>
                <w14:ligatures w14:val="none"/>
              </w:rPr>
              <w:t>, Demographics</w:t>
            </w:r>
            <w:r w:rsidRPr="008D188C">
              <w:rPr>
                <w:rFonts w:ascii="Calibri" w:eastAsia="Times New Roman" w:hAnsi="Calibri" w:cs="Calibri"/>
                <w:b/>
                <w:bCs/>
                <w:color w:val="000000"/>
                <w:kern w:val="0"/>
                <w:sz w:val="28"/>
                <w:szCs w:val="28"/>
                <w14:ligatures w14:val="none"/>
              </w:rPr>
              <w:t xml:space="preserve"> Snapshot</w:t>
            </w:r>
          </w:p>
          <w:p w14:paraId="6EA5C8D8" w14:textId="621C6C28" w:rsidR="004D6640" w:rsidRPr="008D188C" w:rsidRDefault="004D6640" w:rsidP="008D188C">
            <w:pPr>
              <w:spacing w:after="0" w:line="240" w:lineRule="auto"/>
              <w:rPr>
                <w:rFonts w:ascii="Calibri" w:eastAsia="Times New Roman" w:hAnsi="Calibri" w:cs="Calibri"/>
                <w:i/>
                <w:iCs/>
                <w:color w:val="000000"/>
                <w:kern w:val="0"/>
                <w:lang w:val="fr-FR"/>
                <w14:ligatures w14:val="none"/>
              </w:rPr>
            </w:pPr>
            <w:r w:rsidRPr="008D188C">
              <w:rPr>
                <w:rFonts w:ascii="Calibri" w:eastAsia="Times New Roman" w:hAnsi="Calibri" w:cs="Calibri"/>
                <w:i/>
                <w:iCs/>
                <w:color w:val="000000"/>
                <w:kern w:val="0"/>
                <w:lang w:val="fr-FR"/>
                <w14:ligatures w14:val="none"/>
              </w:rPr>
              <w:t xml:space="preserve">Source: U.S. </w:t>
            </w:r>
            <w:r w:rsidRPr="008D188C">
              <w:rPr>
                <w:rFonts w:ascii="Calibri" w:eastAsia="Times New Roman" w:hAnsi="Calibri" w:cs="Calibri"/>
                <w:i/>
                <w:iCs/>
                <w:color w:val="000000"/>
                <w:kern w:val="0"/>
                <w14:ligatures w14:val="none"/>
              </w:rPr>
              <w:t>Census</w:t>
            </w:r>
            <w:r w:rsidRPr="008D188C">
              <w:rPr>
                <w:rFonts w:ascii="Calibri" w:eastAsia="Times New Roman" w:hAnsi="Calibri" w:cs="Calibri"/>
                <w:i/>
                <w:iCs/>
                <w:color w:val="000000"/>
                <w:kern w:val="0"/>
                <w:lang w:val="fr-FR"/>
                <w14:ligatures w14:val="none"/>
              </w:rPr>
              <w:t xml:space="preserve"> Bureau, </w:t>
            </w:r>
            <w:r w:rsidRPr="008D188C">
              <w:rPr>
                <w:rFonts w:ascii="Calibri" w:eastAsia="Times New Roman" w:hAnsi="Calibri" w:cs="Calibri"/>
                <w:i/>
                <w:iCs/>
                <w:color w:val="000000"/>
                <w:kern w:val="0"/>
                <w14:ligatures w14:val="none"/>
              </w:rPr>
              <w:t>Decennial</w:t>
            </w:r>
            <w:r w:rsidRPr="008D188C">
              <w:rPr>
                <w:rFonts w:ascii="Calibri" w:eastAsia="Times New Roman" w:hAnsi="Calibri" w:cs="Calibri"/>
                <w:i/>
                <w:iCs/>
                <w:color w:val="000000"/>
                <w:kern w:val="0"/>
                <w:lang w:val="fr-FR"/>
                <w14:ligatures w14:val="none"/>
              </w:rPr>
              <w:t xml:space="preserve"> </w:t>
            </w:r>
            <w:r w:rsidRPr="008D188C">
              <w:rPr>
                <w:rFonts w:ascii="Calibri" w:eastAsia="Times New Roman" w:hAnsi="Calibri" w:cs="Calibri"/>
                <w:i/>
                <w:iCs/>
                <w:color w:val="000000"/>
                <w:kern w:val="0"/>
                <w14:ligatures w14:val="none"/>
              </w:rPr>
              <w:t>Censuses</w:t>
            </w:r>
          </w:p>
        </w:tc>
      </w:tr>
      <w:tr w:rsidR="00CD1660" w:rsidRPr="00CD1660" w14:paraId="3974DCD2"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D2FAFF" w14:textId="77777777" w:rsidR="00CD1660" w:rsidRPr="004D6640" w:rsidRDefault="00CD1660" w:rsidP="00CD1660">
            <w:pPr>
              <w:spacing w:after="0" w:line="240" w:lineRule="auto"/>
              <w:rPr>
                <w:rFonts w:ascii="Calibri" w:eastAsia="Times New Roman" w:hAnsi="Calibri" w:cs="Calibri"/>
                <w:color w:val="000000"/>
                <w:kern w:val="0"/>
                <w:lang w:val="fr-FR"/>
                <w14:ligatures w14:val="none"/>
              </w:rPr>
            </w:pPr>
            <w:r w:rsidRPr="004D6640">
              <w:rPr>
                <w:rFonts w:ascii="Calibri" w:eastAsia="Times New Roman" w:hAnsi="Calibri" w:cs="Calibri"/>
                <w:color w:val="000000"/>
                <w:kern w:val="0"/>
                <w:lang w:val="fr-FR"/>
                <w14:ligatures w14:val="none"/>
              </w:rPr>
              <w:t> </w:t>
            </w:r>
          </w:p>
        </w:tc>
        <w:tc>
          <w:tcPr>
            <w:tcW w:w="1235" w:type="dxa"/>
            <w:tcBorders>
              <w:top w:val="nil"/>
              <w:left w:val="nil"/>
              <w:bottom w:val="single" w:sz="4" w:space="0" w:color="auto"/>
              <w:right w:val="single" w:sz="4" w:space="0" w:color="auto"/>
            </w:tcBorders>
            <w:shd w:val="clear" w:color="auto" w:fill="auto"/>
            <w:noWrap/>
            <w:vAlign w:val="center"/>
            <w:hideMark/>
          </w:tcPr>
          <w:p w14:paraId="6EF3E266" w14:textId="77777777" w:rsidR="00CD1660" w:rsidRPr="00CD1660" w:rsidRDefault="00CD1660" w:rsidP="00CD1660">
            <w:pPr>
              <w:spacing w:after="0" w:line="240" w:lineRule="auto"/>
              <w:jc w:val="center"/>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2000</w:t>
            </w:r>
          </w:p>
        </w:tc>
        <w:tc>
          <w:tcPr>
            <w:tcW w:w="1080" w:type="dxa"/>
            <w:tcBorders>
              <w:top w:val="nil"/>
              <w:left w:val="nil"/>
              <w:bottom w:val="single" w:sz="4" w:space="0" w:color="auto"/>
              <w:right w:val="single" w:sz="4" w:space="0" w:color="auto"/>
            </w:tcBorders>
            <w:shd w:val="clear" w:color="auto" w:fill="auto"/>
            <w:noWrap/>
            <w:vAlign w:val="center"/>
            <w:hideMark/>
          </w:tcPr>
          <w:p w14:paraId="1D415420" w14:textId="77777777" w:rsidR="00CD1660" w:rsidRPr="00CD1660" w:rsidRDefault="00CD1660" w:rsidP="00CD1660">
            <w:pPr>
              <w:spacing w:after="0" w:line="240" w:lineRule="auto"/>
              <w:jc w:val="center"/>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2010</w:t>
            </w:r>
          </w:p>
        </w:tc>
        <w:tc>
          <w:tcPr>
            <w:tcW w:w="1080" w:type="dxa"/>
            <w:tcBorders>
              <w:top w:val="nil"/>
              <w:left w:val="nil"/>
              <w:bottom w:val="single" w:sz="4" w:space="0" w:color="auto"/>
              <w:right w:val="single" w:sz="4" w:space="0" w:color="auto"/>
            </w:tcBorders>
            <w:shd w:val="clear" w:color="auto" w:fill="auto"/>
            <w:noWrap/>
            <w:vAlign w:val="center"/>
            <w:hideMark/>
          </w:tcPr>
          <w:p w14:paraId="6E4506D8" w14:textId="77777777" w:rsidR="00CD1660" w:rsidRPr="00CD1660" w:rsidRDefault="00CD1660" w:rsidP="00CD1660">
            <w:pPr>
              <w:spacing w:after="0" w:line="240" w:lineRule="auto"/>
              <w:jc w:val="center"/>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2020</w:t>
            </w:r>
          </w:p>
        </w:tc>
        <w:tc>
          <w:tcPr>
            <w:tcW w:w="1980" w:type="dxa"/>
            <w:tcBorders>
              <w:top w:val="nil"/>
              <w:left w:val="nil"/>
              <w:bottom w:val="single" w:sz="4" w:space="0" w:color="auto"/>
              <w:right w:val="single" w:sz="4" w:space="0" w:color="auto"/>
            </w:tcBorders>
            <w:shd w:val="clear" w:color="auto" w:fill="auto"/>
            <w:noWrap/>
            <w:vAlign w:val="center"/>
            <w:hideMark/>
          </w:tcPr>
          <w:p w14:paraId="692487A6" w14:textId="6C2C2DB4" w:rsidR="00CD1660" w:rsidRPr="00CD1660" w:rsidRDefault="00CD1660" w:rsidP="00CD1660">
            <w:pPr>
              <w:spacing w:after="0" w:line="240" w:lineRule="auto"/>
              <w:jc w:val="center"/>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w:t>
            </w:r>
            <w:r w:rsidR="00DF41D0">
              <w:rPr>
                <w:rFonts w:ascii="Calibri" w:eastAsia="Times New Roman" w:hAnsi="Calibri" w:cs="Calibri"/>
                <w:b/>
                <w:bCs/>
                <w:color w:val="000000"/>
                <w:kern w:val="0"/>
                <w14:ligatures w14:val="none"/>
              </w:rPr>
              <w:t xml:space="preserve"> </w:t>
            </w:r>
            <w:r w:rsidRPr="00CD1660">
              <w:rPr>
                <w:rFonts w:ascii="Calibri" w:eastAsia="Times New Roman" w:hAnsi="Calibri" w:cs="Calibri"/>
                <w:b/>
                <w:bCs/>
                <w:color w:val="000000"/>
                <w:kern w:val="0"/>
                <w14:ligatures w14:val="none"/>
              </w:rPr>
              <w:t>change</w:t>
            </w:r>
          </w:p>
        </w:tc>
      </w:tr>
      <w:tr w:rsidR="00CD1660" w:rsidRPr="00CD1660" w14:paraId="7E416989"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48453F" w14:textId="77777777" w:rsidR="00CD1660" w:rsidRPr="00CD1660" w:rsidRDefault="00CD1660" w:rsidP="00CD1660">
            <w:pPr>
              <w:spacing w:after="0" w:line="240" w:lineRule="auto"/>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Total Population</w:t>
            </w:r>
          </w:p>
        </w:tc>
        <w:tc>
          <w:tcPr>
            <w:tcW w:w="1235" w:type="dxa"/>
            <w:tcBorders>
              <w:top w:val="nil"/>
              <w:left w:val="nil"/>
              <w:bottom w:val="single" w:sz="4" w:space="0" w:color="auto"/>
              <w:right w:val="single" w:sz="4" w:space="0" w:color="auto"/>
            </w:tcBorders>
            <w:shd w:val="clear" w:color="auto" w:fill="auto"/>
            <w:noWrap/>
            <w:vAlign w:val="center"/>
            <w:hideMark/>
          </w:tcPr>
          <w:p w14:paraId="16955D6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399</w:t>
            </w:r>
          </w:p>
        </w:tc>
        <w:tc>
          <w:tcPr>
            <w:tcW w:w="1080" w:type="dxa"/>
            <w:tcBorders>
              <w:top w:val="nil"/>
              <w:left w:val="nil"/>
              <w:bottom w:val="single" w:sz="4" w:space="0" w:color="auto"/>
              <w:right w:val="single" w:sz="4" w:space="0" w:color="auto"/>
            </w:tcBorders>
            <w:shd w:val="clear" w:color="auto" w:fill="auto"/>
            <w:noWrap/>
            <w:vAlign w:val="center"/>
            <w:hideMark/>
          </w:tcPr>
          <w:p w14:paraId="7B2BFD65"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781</w:t>
            </w:r>
          </w:p>
        </w:tc>
        <w:tc>
          <w:tcPr>
            <w:tcW w:w="1080" w:type="dxa"/>
            <w:tcBorders>
              <w:top w:val="nil"/>
              <w:left w:val="nil"/>
              <w:bottom w:val="single" w:sz="4" w:space="0" w:color="auto"/>
              <w:right w:val="single" w:sz="4" w:space="0" w:color="auto"/>
            </w:tcBorders>
            <w:shd w:val="clear" w:color="auto" w:fill="auto"/>
            <w:noWrap/>
            <w:vAlign w:val="center"/>
            <w:hideMark/>
          </w:tcPr>
          <w:p w14:paraId="61A4FD8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673</w:t>
            </w:r>
          </w:p>
        </w:tc>
        <w:tc>
          <w:tcPr>
            <w:tcW w:w="1980" w:type="dxa"/>
            <w:tcBorders>
              <w:top w:val="nil"/>
              <w:left w:val="nil"/>
              <w:bottom w:val="single" w:sz="4" w:space="0" w:color="auto"/>
              <w:right w:val="single" w:sz="4" w:space="0" w:color="auto"/>
            </w:tcBorders>
            <w:shd w:val="clear" w:color="auto" w:fill="auto"/>
            <w:noWrap/>
            <w:vAlign w:val="center"/>
            <w:hideMark/>
          </w:tcPr>
          <w:p w14:paraId="119E3AC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68.7%</w:t>
            </w:r>
          </w:p>
        </w:tc>
      </w:tr>
      <w:tr w:rsidR="00CD1660" w:rsidRPr="00CD1660" w14:paraId="0284826D"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7AA209"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Female Population</w:t>
            </w:r>
          </w:p>
        </w:tc>
        <w:tc>
          <w:tcPr>
            <w:tcW w:w="1235" w:type="dxa"/>
            <w:tcBorders>
              <w:top w:val="nil"/>
              <w:left w:val="nil"/>
              <w:bottom w:val="single" w:sz="4" w:space="0" w:color="auto"/>
              <w:right w:val="single" w:sz="4" w:space="0" w:color="auto"/>
            </w:tcBorders>
            <w:shd w:val="clear" w:color="auto" w:fill="auto"/>
            <w:noWrap/>
            <w:vAlign w:val="center"/>
            <w:hideMark/>
          </w:tcPr>
          <w:p w14:paraId="31A6F11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189</w:t>
            </w:r>
          </w:p>
        </w:tc>
        <w:tc>
          <w:tcPr>
            <w:tcW w:w="1080" w:type="dxa"/>
            <w:tcBorders>
              <w:top w:val="nil"/>
              <w:left w:val="nil"/>
              <w:bottom w:val="single" w:sz="4" w:space="0" w:color="auto"/>
              <w:right w:val="single" w:sz="4" w:space="0" w:color="auto"/>
            </w:tcBorders>
            <w:shd w:val="clear" w:color="auto" w:fill="auto"/>
            <w:noWrap/>
            <w:vAlign w:val="center"/>
            <w:hideMark/>
          </w:tcPr>
          <w:p w14:paraId="6C7BAD3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369</w:t>
            </w:r>
          </w:p>
        </w:tc>
        <w:tc>
          <w:tcPr>
            <w:tcW w:w="1080" w:type="dxa"/>
            <w:tcBorders>
              <w:top w:val="nil"/>
              <w:left w:val="nil"/>
              <w:bottom w:val="single" w:sz="4" w:space="0" w:color="auto"/>
              <w:right w:val="single" w:sz="4" w:space="0" w:color="auto"/>
            </w:tcBorders>
            <w:shd w:val="clear" w:color="auto" w:fill="auto"/>
            <w:noWrap/>
            <w:vAlign w:val="center"/>
            <w:hideMark/>
          </w:tcPr>
          <w:p w14:paraId="5FB0D0C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325</w:t>
            </w:r>
          </w:p>
        </w:tc>
        <w:tc>
          <w:tcPr>
            <w:tcW w:w="1980" w:type="dxa"/>
            <w:tcBorders>
              <w:top w:val="nil"/>
              <w:left w:val="nil"/>
              <w:bottom w:val="single" w:sz="4" w:space="0" w:color="auto"/>
              <w:right w:val="single" w:sz="4" w:space="0" w:color="auto"/>
            </w:tcBorders>
            <w:shd w:val="clear" w:color="auto" w:fill="auto"/>
            <w:noWrap/>
            <w:vAlign w:val="center"/>
            <w:hideMark/>
          </w:tcPr>
          <w:p w14:paraId="1D453164"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72.0%</w:t>
            </w:r>
          </w:p>
        </w:tc>
      </w:tr>
      <w:tr w:rsidR="00CD1660" w:rsidRPr="00CD1660" w14:paraId="12C91233"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08C52CF"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Male Population</w:t>
            </w:r>
          </w:p>
        </w:tc>
        <w:tc>
          <w:tcPr>
            <w:tcW w:w="1235" w:type="dxa"/>
            <w:tcBorders>
              <w:top w:val="nil"/>
              <w:left w:val="nil"/>
              <w:bottom w:val="single" w:sz="4" w:space="0" w:color="auto"/>
              <w:right w:val="single" w:sz="4" w:space="0" w:color="auto"/>
            </w:tcBorders>
            <w:shd w:val="clear" w:color="auto" w:fill="auto"/>
            <w:noWrap/>
            <w:vAlign w:val="center"/>
            <w:hideMark/>
          </w:tcPr>
          <w:p w14:paraId="1251A66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210</w:t>
            </w:r>
          </w:p>
        </w:tc>
        <w:tc>
          <w:tcPr>
            <w:tcW w:w="1080" w:type="dxa"/>
            <w:tcBorders>
              <w:top w:val="nil"/>
              <w:left w:val="nil"/>
              <w:bottom w:val="single" w:sz="4" w:space="0" w:color="auto"/>
              <w:right w:val="single" w:sz="4" w:space="0" w:color="auto"/>
            </w:tcBorders>
            <w:shd w:val="clear" w:color="auto" w:fill="auto"/>
            <w:noWrap/>
            <w:vAlign w:val="center"/>
            <w:hideMark/>
          </w:tcPr>
          <w:p w14:paraId="616A31D5"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412</w:t>
            </w:r>
          </w:p>
        </w:tc>
        <w:tc>
          <w:tcPr>
            <w:tcW w:w="1080" w:type="dxa"/>
            <w:tcBorders>
              <w:top w:val="nil"/>
              <w:left w:val="nil"/>
              <w:bottom w:val="single" w:sz="4" w:space="0" w:color="auto"/>
              <w:right w:val="single" w:sz="4" w:space="0" w:color="auto"/>
            </w:tcBorders>
            <w:shd w:val="clear" w:color="auto" w:fill="auto"/>
            <w:noWrap/>
            <w:vAlign w:val="center"/>
            <w:hideMark/>
          </w:tcPr>
          <w:p w14:paraId="4206A5D9"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348</w:t>
            </w:r>
          </w:p>
        </w:tc>
        <w:tc>
          <w:tcPr>
            <w:tcW w:w="1980" w:type="dxa"/>
            <w:tcBorders>
              <w:top w:val="nil"/>
              <w:left w:val="nil"/>
              <w:bottom w:val="single" w:sz="4" w:space="0" w:color="auto"/>
              <w:right w:val="single" w:sz="4" w:space="0" w:color="auto"/>
            </w:tcBorders>
            <w:shd w:val="clear" w:color="auto" w:fill="auto"/>
            <w:noWrap/>
            <w:vAlign w:val="center"/>
            <w:hideMark/>
          </w:tcPr>
          <w:p w14:paraId="14155E23"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65.7%</w:t>
            </w:r>
          </w:p>
        </w:tc>
      </w:tr>
      <w:tr w:rsidR="00CD1660" w:rsidRPr="00CD1660" w14:paraId="0C1728AD"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6CBEBD2" w14:textId="77777777" w:rsidR="00CD1660" w:rsidRPr="00CD1660" w:rsidRDefault="00CD1660" w:rsidP="00CD1660">
            <w:pPr>
              <w:spacing w:after="0" w:line="240" w:lineRule="auto"/>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235" w:type="dxa"/>
            <w:tcBorders>
              <w:top w:val="nil"/>
              <w:left w:val="nil"/>
              <w:bottom w:val="single" w:sz="4" w:space="0" w:color="auto"/>
              <w:right w:val="single" w:sz="4" w:space="0" w:color="auto"/>
            </w:tcBorders>
            <w:shd w:val="clear" w:color="auto" w:fill="auto"/>
            <w:noWrap/>
            <w:vAlign w:val="center"/>
            <w:hideMark/>
          </w:tcPr>
          <w:p w14:paraId="1822A119"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8AEC57"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9783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980" w:type="dxa"/>
            <w:tcBorders>
              <w:top w:val="nil"/>
              <w:left w:val="nil"/>
              <w:bottom w:val="single" w:sz="4" w:space="0" w:color="auto"/>
              <w:right w:val="single" w:sz="4" w:space="0" w:color="auto"/>
            </w:tcBorders>
            <w:shd w:val="clear" w:color="auto" w:fill="auto"/>
            <w:noWrap/>
            <w:vAlign w:val="center"/>
            <w:hideMark/>
          </w:tcPr>
          <w:p w14:paraId="31A46DDB"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r>
      <w:tr w:rsidR="00CD1660" w:rsidRPr="00CD1660" w14:paraId="31F82D43"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F803E93" w14:textId="77777777" w:rsidR="00CD1660" w:rsidRPr="00CD1660" w:rsidRDefault="00CD1660" w:rsidP="00CD1660">
            <w:pPr>
              <w:spacing w:after="0" w:line="240" w:lineRule="auto"/>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Median Age</w:t>
            </w:r>
          </w:p>
        </w:tc>
        <w:tc>
          <w:tcPr>
            <w:tcW w:w="1235" w:type="dxa"/>
            <w:tcBorders>
              <w:top w:val="nil"/>
              <w:left w:val="nil"/>
              <w:bottom w:val="single" w:sz="4" w:space="0" w:color="auto"/>
              <w:right w:val="single" w:sz="4" w:space="0" w:color="auto"/>
            </w:tcBorders>
            <w:shd w:val="clear" w:color="auto" w:fill="auto"/>
            <w:noWrap/>
            <w:vAlign w:val="center"/>
            <w:hideMark/>
          </w:tcPr>
          <w:p w14:paraId="25ED836B"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38.4</w:t>
            </w:r>
          </w:p>
        </w:tc>
        <w:tc>
          <w:tcPr>
            <w:tcW w:w="1080" w:type="dxa"/>
            <w:tcBorders>
              <w:top w:val="nil"/>
              <w:left w:val="nil"/>
              <w:bottom w:val="single" w:sz="4" w:space="0" w:color="auto"/>
              <w:right w:val="single" w:sz="4" w:space="0" w:color="auto"/>
            </w:tcBorders>
            <w:shd w:val="clear" w:color="auto" w:fill="auto"/>
            <w:noWrap/>
            <w:vAlign w:val="center"/>
            <w:hideMark/>
          </w:tcPr>
          <w:p w14:paraId="23D756A5"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1723C95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56.3</w:t>
            </w:r>
          </w:p>
        </w:tc>
        <w:tc>
          <w:tcPr>
            <w:tcW w:w="1980" w:type="dxa"/>
            <w:tcBorders>
              <w:top w:val="nil"/>
              <w:left w:val="nil"/>
              <w:bottom w:val="single" w:sz="4" w:space="0" w:color="auto"/>
              <w:right w:val="single" w:sz="4" w:space="0" w:color="auto"/>
            </w:tcBorders>
            <w:shd w:val="clear" w:color="auto" w:fill="auto"/>
            <w:noWrap/>
            <w:vAlign w:val="center"/>
            <w:hideMark/>
          </w:tcPr>
          <w:p w14:paraId="52EEE5F1" w14:textId="4E657021"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46.6</w:t>
            </w:r>
            <w:r w:rsidR="00DF41D0">
              <w:rPr>
                <w:rFonts w:ascii="Calibri" w:eastAsia="Times New Roman" w:hAnsi="Calibri" w:cs="Calibri"/>
                <w:color w:val="000000"/>
                <w:kern w:val="0"/>
                <w14:ligatures w14:val="none"/>
              </w:rPr>
              <w:t>%</w:t>
            </w:r>
          </w:p>
        </w:tc>
      </w:tr>
      <w:tr w:rsidR="00CD1660" w:rsidRPr="00CD1660" w14:paraId="1A19126C"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8ED2D99" w14:textId="77777777" w:rsidR="00CD1660" w:rsidRPr="00CD1660" w:rsidRDefault="00CD1660" w:rsidP="00CD1660">
            <w:pPr>
              <w:spacing w:after="0" w:line="240" w:lineRule="auto"/>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235" w:type="dxa"/>
            <w:tcBorders>
              <w:top w:val="nil"/>
              <w:left w:val="nil"/>
              <w:bottom w:val="single" w:sz="4" w:space="0" w:color="auto"/>
              <w:right w:val="single" w:sz="4" w:space="0" w:color="auto"/>
            </w:tcBorders>
            <w:shd w:val="clear" w:color="auto" w:fill="auto"/>
            <w:noWrap/>
            <w:vAlign w:val="center"/>
            <w:hideMark/>
          </w:tcPr>
          <w:p w14:paraId="5DFAFA48"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6082BD"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843354"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980" w:type="dxa"/>
            <w:tcBorders>
              <w:top w:val="nil"/>
              <w:left w:val="nil"/>
              <w:bottom w:val="single" w:sz="4" w:space="0" w:color="auto"/>
              <w:right w:val="single" w:sz="4" w:space="0" w:color="auto"/>
            </w:tcBorders>
            <w:shd w:val="clear" w:color="auto" w:fill="auto"/>
            <w:noWrap/>
            <w:vAlign w:val="center"/>
            <w:hideMark/>
          </w:tcPr>
          <w:p w14:paraId="17B1C68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r>
      <w:tr w:rsidR="00CD1660" w:rsidRPr="00CD1660" w14:paraId="1D1024AD"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EE470D0" w14:textId="77777777" w:rsidR="00CD1660" w:rsidRPr="00CD1660" w:rsidRDefault="00CD1660" w:rsidP="00CD1660">
            <w:pPr>
              <w:spacing w:after="0" w:line="240" w:lineRule="auto"/>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Total Housing Units</w:t>
            </w:r>
          </w:p>
        </w:tc>
        <w:tc>
          <w:tcPr>
            <w:tcW w:w="1235" w:type="dxa"/>
            <w:tcBorders>
              <w:top w:val="nil"/>
              <w:left w:val="nil"/>
              <w:bottom w:val="single" w:sz="4" w:space="0" w:color="auto"/>
              <w:right w:val="single" w:sz="4" w:space="0" w:color="auto"/>
            </w:tcBorders>
            <w:shd w:val="clear" w:color="auto" w:fill="auto"/>
            <w:noWrap/>
            <w:vAlign w:val="center"/>
            <w:hideMark/>
          </w:tcPr>
          <w:p w14:paraId="2CC8B4B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1,675</w:t>
            </w:r>
          </w:p>
        </w:tc>
        <w:tc>
          <w:tcPr>
            <w:tcW w:w="1080" w:type="dxa"/>
            <w:tcBorders>
              <w:top w:val="nil"/>
              <w:left w:val="nil"/>
              <w:bottom w:val="single" w:sz="4" w:space="0" w:color="auto"/>
              <w:right w:val="single" w:sz="4" w:space="0" w:color="auto"/>
            </w:tcBorders>
            <w:shd w:val="clear" w:color="auto" w:fill="auto"/>
            <w:noWrap/>
            <w:vAlign w:val="center"/>
            <w:hideMark/>
          </w:tcPr>
          <w:p w14:paraId="2AC96B4E"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2,103</w:t>
            </w:r>
          </w:p>
        </w:tc>
        <w:tc>
          <w:tcPr>
            <w:tcW w:w="1080" w:type="dxa"/>
            <w:tcBorders>
              <w:top w:val="nil"/>
              <w:left w:val="nil"/>
              <w:bottom w:val="single" w:sz="4" w:space="0" w:color="auto"/>
              <w:right w:val="single" w:sz="4" w:space="0" w:color="auto"/>
            </w:tcBorders>
            <w:shd w:val="clear" w:color="auto" w:fill="auto"/>
            <w:noWrap/>
            <w:vAlign w:val="center"/>
            <w:hideMark/>
          </w:tcPr>
          <w:p w14:paraId="0C266A3A"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2,138</w:t>
            </w:r>
          </w:p>
        </w:tc>
        <w:tc>
          <w:tcPr>
            <w:tcW w:w="1980" w:type="dxa"/>
            <w:tcBorders>
              <w:top w:val="nil"/>
              <w:left w:val="nil"/>
              <w:bottom w:val="single" w:sz="4" w:space="0" w:color="auto"/>
              <w:right w:val="single" w:sz="4" w:space="0" w:color="auto"/>
            </w:tcBorders>
            <w:shd w:val="clear" w:color="auto" w:fill="auto"/>
            <w:noWrap/>
            <w:vAlign w:val="center"/>
            <w:hideMark/>
          </w:tcPr>
          <w:p w14:paraId="38C5F33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27.6%</w:t>
            </w:r>
          </w:p>
        </w:tc>
      </w:tr>
      <w:tr w:rsidR="00CD1660" w:rsidRPr="00CD1660" w14:paraId="53AA72E5"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F5BD452" w14:textId="77777777" w:rsidR="00CD1660" w:rsidRPr="00CD1660" w:rsidRDefault="00CD1660" w:rsidP="00CD1660">
            <w:pPr>
              <w:spacing w:after="0" w:line="240" w:lineRule="auto"/>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Occupied</w:t>
            </w:r>
          </w:p>
        </w:tc>
        <w:tc>
          <w:tcPr>
            <w:tcW w:w="1235" w:type="dxa"/>
            <w:tcBorders>
              <w:top w:val="nil"/>
              <w:left w:val="nil"/>
              <w:bottom w:val="single" w:sz="4" w:space="0" w:color="auto"/>
              <w:right w:val="single" w:sz="4" w:space="0" w:color="auto"/>
            </w:tcBorders>
            <w:shd w:val="clear" w:color="auto" w:fill="auto"/>
            <w:noWrap/>
            <w:vAlign w:val="center"/>
            <w:hideMark/>
          </w:tcPr>
          <w:p w14:paraId="50ED0E9A"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179</w:t>
            </w:r>
          </w:p>
        </w:tc>
        <w:tc>
          <w:tcPr>
            <w:tcW w:w="1080" w:type="dxa"/>
            <w:tcBorders>
              <w:top w:val="nil"/>
              <w:left w:val="nil"/>
              <w:bottom w:val="single" w:sz="4" w:space="0" w:color="auto"/>
              <w:right w:val="single" w:sz="4" w:space="0" w:color="auto"/>
            </w:tcBorders>
            <w:shd w:val="clear" w:color="auto" w:fill="auto"/>
            <w:noWrap/>
            <w:vAlign w:val="center"/>
            <w:hideMark/>
          </w:tcPr>
          <w:p w14:paraId="3156085B"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373</w:t>
            </w:r>
          </w:p>
        </w:tc>
        <w:tc>
          <w:tcPr>
            <w:tcW w:w="1080" w:type="dxa"/>
            <w:tcBorders>
              <w:top w:val="nil"/>
              <w:left w:val="nil"/>
              <w:bottom w:val="single" w:sz="4" w:space="0" w:color="auto"/>
              <w:right w:val="single" w:sz="4" w:space="0" w:color="auto"/>
            </w:tcBorders>
            <w:shd w:val="clear" w:color="auto" w:fill="auto"/>
            <w:noWrap/>
            <w:vAlign w:val="center"/>
            <w:hideMark/>
          </w:tcPr>
          <w:p w14:paraId="4C8B5FCD"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354</w:t>
            </w:r>
          </w:p>
        </w:tc>
        <w:tc>
          <w:tcPr>
            <w:tcW w:w="1980" w:type="dxa"/>
            <w:tcBorders>
              <w:top w:val="nil"/>
              <w:left w:val="nil"/>
              <w:bottom w:val="single" w:sz="4" w:space="0" w:color="auto"/>
              <w:right w:val="single" w:sz="4" w:space="0" w:color="auto"/>
            </w:tcBorders>
            <w:shd w:val="clear" w:color="auto" w:fill="auto"/>
            <w:noWrap/>
            <w:vAlign w:val="center"/>
            <w:hideMark/>
          </w:tcPr>
          <w:p w14:paraId="19E7260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97.8%</w:t>
            </w:r>
          </w:p>
        </w:tc>
      </w:tr>
      <w:tr w:rsidR="00CD1660" w:rsidRPr="00CD1660" w14:paraId="24203ED3"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D06964E"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Owner-occupied</w:t>
            </w:r>
          </w:p>
        </w:tc>
        <w:tc>
          <w:tcPr>
            <w:tcW w:w="1235" w:type="dxa"/>
            <w:tcBorders>
              <w:top w:val="nil"/>
              <w:left w:val="nil"/>
              <w:bottom w:val="single" w:sz="4" w:space="0" w:color="auto"/>
              <w:right w:val="single" w:sz="4" w:space="0" w:color="auto"/>
            </w:tcBorders>
            <w:shd w:val="clear" w:color="auto" w:fill="auto"/>
            <w:noWrap/>
            <w:vAlign w:val="center"/>
            <w:hideMark/>
          </w:tcPr>
          <w:p w14:paraId="10C10362"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145</w:t>
            </w:r>
          </w:p>
        </w:tc>
        <w:tc>
          <w:tcPr>
            <w:tcW w:w="1080" w:type="dxa"/>
            <w:tcBorders>
              <w:top w:val="nil"/>
              <w:left w:val="nil"/>
              <w:bottom w:val="single" w:sz="4" w:space="0" w:color="auto"/>
              <w:right w:val="single" w:sz="4" w:space="0" w:color="auto"/>
            </w:tcBorders>
            <w:shd w:val="clear" w:color="auto" w:fill="auto"/>
            <w:noWrap/>
            <w:vAlign w:val="center"/>
            <w:hideMark/>
          </w:tcPr>
          <w:p w14:paraId="57AB804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325</w:t>
            </w:r>
          </w:p>
        </w:tc>
        <w:tc>
          <w:tcPr>
            <w:tcW w:w="1080" w:type="dxa"/>
            <w:tcBorders>
              <w:top w:val="nil"/>
              <w:left w:val="nil"/>
              <w:bottom w:val="single" w:sz="4" w:space="0" w:color="auto"/>
              <w:right w:val="single" w:sz="4" w:space="0" w:color="auto"/>
            </w:tcBorders>
            <w:shd w:val="clear" w:color="auto" w:fill="auto"/>
            <w:noWrap/>
            <w:vAlign w:val="center"/>
            <w:hideMark/>
          </w:tcPr>
          <w:p w14:paraId="6965B834"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309</w:t>
            </w:r>
          </w:p>
        </w:tc>
        <w:tc>
          <w:tcPr>
            <w:tcW w:w="1980" w:type="dxa"/>
            <w:tcBorders>
              <w:top w:val="nil"/>
              <w:left w:val="nil"/>
              <w:bottom w:val="single" w:sz="4" w:space="0" w:color="auto"/>
              <w:right w:val="single" w:sz="4" w:space="0" w:color="auto"/>
            </w:tcBorders>
            <w:shd w:val="clear" w:color="auto" w:fill="auto"/>
            <w:noWrap/>
            <w:vAlign w:val="center"/>
            <w:hideMark/>
          </w:tcPr>
          <w:p w14:paraId="7E587F8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113.1%</w:t>
            </w:r>
          </w:p>
        </w:tc>
      </w:tr>
      <w:tr w:rsidR="00CD1660" w:rsidRPr="00CD1660" w14:paraId="6620C8B2"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416D8BB"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Renter-occupied</w:t>
            </w:r>
          </w:p>
        </w:tc>
        <w:tc>
          <w:tcPr>
            <w:tcW w:w="1235" w:type="dxa"/>
            <w:tcBorders>
              <w:top w:val="nil"/>
              <w:left w:val="nil"/>
              <w:bottom w:val="single" w:sz="4" w:space="0" w:color="auto"/>
              <w:right w:val="single" w:sz="4" w:space="0" w:color="auto"/>
            </w:tcBorders>
            <w:shd w:val="clear" w:color="auto" w:fill="auto"/>
            <w:noWrap/>
            <w:vAlign w:val="center"/>
            <w:hideMark/>
          </w:tcPr>
          <w:p w14:paraId="7B853A9F"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34</w:t>
            </w:r>
          </w:p>
        </w:tc>
        <w:tc>
          <w:tcPr>
            <w:tcW w:w="1080" w:type="dxa"/>
            <w:tcBorders>
              <w:top w:val="nil"/>
              <w:left w:val="nil"/>
              <w:bottom w:val="single" w:sz="4" w:space="0" w:color="auto"/>
              <w:right w:val="single" w:sz="4" w:space="0" w:color="auto"/>
            </w:tcBorders>
            <w:shd w:val="clear" w:color="auto" w:fill="auto"/>
            <w:noWrap/>
            <w:vAlign w:val="center"/>
            <w:hideMark/>
          </w:tcPr>
          <w:p w14:paraId="4126EAE9"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48</w:t>
            </w:r>
          </w:p>
        </w:tc>
        <w:tc>
          <w:tcPr>
            <w:tcW w:w="1080" w:type="dxa"/>
            <w:tcBorders>
              <w:top w:val="nil"/>
              <w:left w:val="nil"/>
              <w:bottom w:val="single" w:sz="4" w:space="0" w:color="auto"/>
              <w:right w:val="single" w:sz="4" w:space="0" w:color="auto"/>
            </w:tcBorders>
            <w:shd w:val="clear" w:color="auto" w:fill="auto"/>
            <w:noWrap/>
            <w:vAlign w:val="center"/>
            <w:hideMark/>
          </w:tcPr>
          <w:p w14:paraId="0D0EBDF2"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45</w:t>
            </w:r>
          </w:p>
        </w:tc>
        <w:tc>
          <w:tcPr>
            <w:tcW w:w="1980" w:type="dxa"/>
            <w:tcBorders>
              <w:top w:val="nil"/>
              <w:left w:val="nil"/>
              <w:bottom w:val="single" w:sz="4" w:space="0" w:color="auto"/>
              <w:right w:val="single" w:sz="4" w:space="0" w:color="auto"/>
            </w:tcBorders>
            <w:shd w:val="clear" w:color="auto" w:fill="auto"/>
            <w:noWrap/>
            <w:vAlign w:val="center"/>
            <w:hideMark/>
          </w:tcPr>
          <w:p w14:paraId="0999A377"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32.4%</w:t>
            </w:r>
          </w:p>
        </w:tc>
      </w:tr>
      <w:tr w:rsidR="00CD1660" w:rsidRPr="00CD1660" w14:paraId="478EC354"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2C044E9" w14:textId="77777777" w:rsidR="00CD1660" w:rsidRPr="00CD1660" w:rsidRDefault="00CD1660" w:rsidP="00CD1660">
            <w:pPr>
              <w:spacing w:after="0" w:line="240" w:lineRule="auto"/>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Vacant</w:t>
            </w:r>
          </w:p>
        </w:tc>
        <w:tc>
          <w:tcPr>
            <w:tcW w:w="1235" w:type="dxa"/>
            <w:tcBorders>
              <w:top w:val="nil"/>
              <w:left w:val="nil"/>
              <w:bottom w:val="single" w:sz="4" w:space="0" w:color="auto"/>
              <w:right w:val="single" w:sz="4" w:space="0" w:color="auto"/>
            </w:tcBorders>
            <w:shd w:val="clear" w:color="auto" w:fill="auto"/>
            <w:noWrap/>
            <w:vAlign w:val="center"/>
            <w:hideMark/>
          </w:tcPr>
          <w:p w14:paraId="752055DD"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1,496</w:t>
            </w:r>
          </w:p>
        </w:tc>
        <w:tc>
          <w:tcPr>
            <w:tcW w:w="1080" w:type="dxa"/>
            <w:tcBorders>
              <w:top w:val="nil"/>
              <w:left w:val="nil"/>
              <w:bottom w:val="single" w:sz="4" w:space="0" w:color="auto"/>
              <w:right w:val="single" w:sz="4" w:space="0" w:color="auto"/>
            </w:tcBorders>
            <w:shd w:val="clear" w:color="auto" w:fill="auto"/>
            <w:noWrap/>
            <w:vAlign w:val="center"/>
            <w:hideMark/>
          </w:tcPr>
          <w:p w14:paraId="748AFA77"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1,730</w:t>
            </w:r>
          </w:p>
        </w:tc>
        <w:tc>
          <w:tcPr>
            <w:tcW w:w="1080" w:type="dxa"/>
            <w:tcBorders>
              <w:top w:val="nil"/>
              <w:left w:val="nil"/>
              <w:bottom w:val="single" w:sz="4" w:space="0" w:color="auto"/>
              <w:right w:val="single" w:sz="4" w:space="0" w:color="auto"/>
            </w:tcBorders>
            <w:shd w:val="clear" w:color="auto" w:fill="auto"/>
            <w:noWrap/>
            <w:vAlign w:val="center"/>
            <w:hideMark/>
          </w:tcPr>
          <w:p w14:paraId="12B798C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1,784</w:t>
            </w:r>
          </w:p>
        </w:tc>
        <w:tc>
          <w:tcPr>
            <w:tcW w:w="1980" w:type="dxa"/>
            <w:tcBorders>
              <w:top w:val="nil"/>
              <w:left w:val="nil"/>
              <w:bottom w:val="single" w:sz="4" w:space="0" w:color="auto"/>
              <w:right w:val="single" w:sz="4" w:space="0" w:color="auto"/>
            </w:tcBorders>
            <w:shd w:val="clear" w:color="auto" w:fill="auto"/>
            <w:noWrap/>
            <w:vAlign w:val="center"/>
            <w:hideMark/>
          </w:tcPr>
          <w:p w14:paraId="286BB86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19.3%</w:t>
            </w:r>
          </w:p>
        </w:tc>
      </w:tr>
      <w:tr w:rsidR="00CD1660" w:rsidRPr="00CD1660" w14:paraId="735775C7"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AE83AEB" w14:textId="77777777" w:rsidR="00CD1660" w:rsidRPr="00CD1660" w:rsidRDefault="00CD1660" w:rsidP="00CD1660">
            <w:pPr>
              <w:spacing w:after="0" w:line="240" w:lineRule="auto"/>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235" w:type="dxa"/>
            <w:tcBorders>
              <w:top w:val="nil"/>
              <w:left w:val="nil"/>
              <w:bottom w:val="single" w:sz="4" w:space="0" w:color="auto"/>
              <w:right w:val="single" w:sz="4" w:space="0" w:color="auto"/>
            </w:tcBorders>
            <w:shd w:val="clear" w:color="auto" w:fill="auto"/>
            <w:noWrap/>
            <w:vAlign w:val="center"/>
            <w:hideMark/>
          </w:tcPr>
          <w:p w14:paraId="4A291533"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1F187A"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FAB6B8"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980" w:type="dxa"/>
            <w:tcBorders>
              <w:top w:val="nil"/>
              <w:left w:val="nil"/>
              <w:bottom w:val="single" w:sz="4" w:space="0" w:color="auto"/>
              <w:right w:val="single" w:sz="4" w:space="0" w:color="auto"/>
            </w:tcBorders>
            <w:shd w:val="clear" w:color="auto" w:fill="auto"/>
            <w:noWrap/>
            <w:vAlign w:val="center"/>
            <w:hideMark/>
          </w:tcPr>
          <w:p w14:paraId="114085BE"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r>
      <w:tr w:rsidR="00CD1660" w:rsidRPr="00CD1660" w14:paraId="3D6A2169"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D4E567D" w14:textId="77777777" w:rsidR="00CD1660" w:rsidRPr="00CD1660" w:rsidRDefault="00CD1660" w:rsidP="00CD1660">
            <w:pPr>
              <w:spacing w:after="0" w:line="240" w:lineRule="auto"/>
              <w:rPr>
                <w:rFonts w:ascii="Calibri" w:eastAsia="Times New Roman" w:hAnsi="Calibri" w:cs="Calibri"/>
                <w:b/>
                <w:bCs/>
                <w:color w:val="000000"/>
                <w:kern w:val="0"/>
                <w14:ligatures w14:val="none"/>
              </w:rPr>
            </w:pPr>
            <w:r w:rsidRPr="00CD1660">
              <w:rPr>
                <w:rFonts w:ascii="Calibri" w:eastAsia="Times New Roman" w:hAnsi="Calibri" w:cs="Calibri"/>
                <w:b/>
                <w:bCs/>
                <w:color w:val="000000"/>
                <w:kern w:val="0"/>
                <w14:ligatures w14:val="none"/>
              </w:rPr>
              <w:t>Total Households</w:t>
            </w:r>
          </w:p>
        </w:tc>
        <w:tc>
          <w:tcPr>
            <w:tcW w:w="1235" w:type="dxa"/>
            <w:tcBorders>
              <w:top w:val="nil"/>
              <w:left w:val="nil"/>
              <w:bottom w:val="single" w:sz="4" w:space="0" w:color="auto"/>
              <w:right w:val="single" w:sz="4" w:space="0" w:color="auto"/>
            </w:tcBorders>
            <w:shd w:val="clear" w:color="auto" w:fill="auto"/>
            <w:noWrap/>
            <w:vAlign w:val="center"/>
            <w:hideMark/>
          </w:tcPr>
          <w:p w14:paraId="4158FBB6"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179</w:t>
            </w:r>
          </w:p>
        </w:tc>
        <w:tc>
          <w:tcPr>
            <w:tcW w:w="1080" w:type="dxa"/>
            <w:tcBorders>
              <w:top w:val="nil"/>
              <w:left w:val="nil"/>
              <w:bottom w:val="single" w:sz="4" w:space="0" w:color="auto"/>
              <w:right w:val="single" w:sz="4" w:space="0" w:color="auto"/>
            </w:tcBorders>
            <w:shd w:val="clear" w:color="auto" w:fill="auto"/>
            <w:noWrap/>
            <w:vAlign w:val="center"/>
            <w:hideMark/>
          </w:tcPr>
          <w:p w14:paraId="0DBD4A2A"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373</w:t>
            </w:r>
          </w:p>
        </w:tc>
        <w:tc>
          <w:tcPr>
            <w:tcW w:w="1080" w:type="dxa"/>
            <w:tcBorders>
              <w:top w:val="nil"/>
              <w:left w:val="nil"/>
              <w:bottom w:val="single" w:sz="4" w:space="0" w:color="auto"/>
              <w:right w:val="single" w:sz="4" w:space="0" w:color="auto"/>
            </w:tcBorders>
            <w:shd w:val="clear" w:color="auto" w:fill="auto"/>
            <w:noWrap/>
            <w:vAlign w:val="center"/>
            <w:hideMark/>
          </w:tcPr>
          <w:p w14:paraId="31D2E6F4"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354</w:t>
            </w:r>
          </w:p>
        </w:tc>
        <w:tc>
          <w:tcPr>
            <w:tcW w:w="1980" w:type="dxa"/>
            <w:tcBorders>
              <w:top w:val="nil"/>
              <w:left w:val="nil"/>
              <w:bottom w:val="single" w:sz="4" w:space="0" w:color="auto"/>
              <w:right w:val="single" w:sz="4" w:space="0" w:color="auto"/>
            </w:tcBorders>
            <w:shd w:val="clear" w:color="auto" w:fill="auto"/>
            <w:noWrap/>
            <w:vAlign w:val="center"/>
            <w:hideMark/>
          </w:tcPr>
          <w:p w14:paraId="02F2F33D"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97.8%</w:t>
            </w:r>
          </w:p>
        </w:tc>
      </w:tr>
      <w:tr w:rsidR="00CD1660" w:rsidRPr="00CD1660" w14:paraId="6FA58228"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B90801B"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Family Households</w:t>
            </w:r>
          </w:p>
        </w:tc>
        <w:tc>
          <w:tcPr>
            <w:tcW w:w="1235" w:type="dxa"/>
            <w:tcBorders>
              <w:top w:val="nil"/>
              <w:left w:val="nil"/>
              <w:bottom w:val="single" w:sz="4" w:space="0" w:color="auto"/>
              <w:right w:val="single" w:sz="4" w:space="0" w:color="auto"/>
            </w:tcBorders>
            <w:shd w:val="clear" w:color="auto" w:fill="auto"/>
            <w:noWrap/>
            <w:vAlign w:val="center"/>
            <w:hideMark/>
          </w:tcPr>
          <w:p w14:paraId="618F56CF"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110</w:t>
            </w:r>
          </w:p>
        </w:tc>
        <w:tc>
          <w:tcPr>
            <w:tcW w:w="1080" w:type="dxa"/>
            <w:tcBorders>
              <w:top w:val="nil"/>
              <w:left w:val="nil"/>
              <w:bottom w:val="single" w:sz="4" w:space="0" w:color="auto"/>
              <w:right w:val="single" w:sz="4" w:space="0" w:color="auto"/>
            </w:tcBorders>
            <w:shd w:val="clear" w:color="auto" w:fill="auto"/>
            <w:noWrap/>
            <w:vAlign w:val="center"/>
            <w:hideMark/>
          </w:tcPr>
          <w:p w14:paraId="53023C95"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219</w:t>
            </w:r>
          </w:p>
        </w:tc>
        <w:tc>
          <w:tcPr>
            <w:tcW w:w="1080" w:type="dxa"/>
            <w:tcBorders>
              <w:top w:val="nil"/>
              <w:left w:val="nil"/>
              <w:bottom w:val="single" w:sz="4" w:space="0" w:color="auto"/>
              <w:right w:val="single" w:sz="4" w:space="0" w:color="auto"/>
            </w:tcBorders>
            <w:shd w:val="clear" w:color="auto" w:fill="auto"/>
            <w:noWrap/>
            <w:vAlign w:val="center"/>
            <w:hideMark/>
          </w:tcPr>
          <w:p w14:paraId="17DB03D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178</w:t>
            </w:r>
          </w:p>
        </w:tc>
        <w:tc>
          <w:tcPr>
            <w:tcW w:w="1980" w:type="dxa"/>
            <w:tcBorders>
              <w:top w:val="nil"/>
              <w:left w:val="nil"/>
              <w:bottom w:val="single" w:sz="4" w:space="0" w:color="auto"/>
              <w:right w:val="single" w:sz="4" w:space="0" w:color="auto"/>
            </w:tcBorders>
            <w:shd w:val="clear" w:color="auto" w:fill="auto"/>
            <w:noWrap/>
            <w:vAlign w:val="center"/>
            <w:hideMark/>
          </w:tcPr>
          <w:p w14:paraId="482FDFB2"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61.8%</w:t>
            </w:r>
          </w:p>
        </w:tc>
      </w:tr>
      <w:tr w:rsidR="00CD1660" w:rsidRPr="00CD1660" w14:paraId="30CC9694"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B7F3836"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Non-Family Households</w:t>
            </w:r>
          </w:p>
        </w:tc>
        <w:tc>
          <w:tcPr>
            <w:tcW w:w="1235" w:type="dxa"/>
            <w:tcBorders>
              <w:top w:val="nil"/>
              <w:left w:val="nil"/>
              <w:bottom w:val="single" w:sz="4" w:space="0" w:color="auto"/>
              <w:right w:val="single" w:sz="4" w:space="0" w:color="auto"/>
            </w:tcBorders>
            <w:shd w:val="clear" w:color="auto" w:fill="auto"/>
            <w:noWrap/>
            <w:vAlign w:val="center"/>
            <w:hideMark/>
          </w:tcPr>
          <w:p w14:paraId="1A9C36E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69</w:t>
            </w:r>
          </w:p>
        </w:tc>
        <w:tc>
          <w:tcPr>
            <w:tcW w:w="1080" w:type="dxa"/>
            <w:tcBorders>
              <w:top w:val="nil"/>
              <w:left w:val="nil"/>
              <w:bottom w:val="single" w:sz="4" w:space="0" w:color="auto"/>
              <w:right w:val="single" w:sz="4" w:space="0" w:color="auto"/>
            </w:tcBorders>
            <w:shd w:val="clear" w:color="auto" w:fill="auto"/>
            <w:noWrap/>
            <w:vAlign w:val="center"/>
            <w:hideMark/>
          </w:tcPr>
          <w:p w14:paraId="75F1FF3F"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154</w:t>
            </w:r>
          </w:p>
        </w:tc>
        <w:tc>
          <w:tcPr>
            <w:tcW w:w="1080" w:type="dxa"/>
            <w:tcBorders>
              <w:top w:val="nil"/>
              <w:left w:val="nil"/>
              <w:bottom w:val="single" w:sz="4" w:space="0" w:color="auto"/>
              <w:right w:val="single" w:sz="4" w:space="0" w:color="auto"/>
            </w:tcBorders>
            <w:shd w:val="clear" w:color="auto" w:fill="auto"/>
            <w:noWrap/>
            <w:vAlign w:val="center"/>
            <w:hideMark/>
          </w:tcPr>
          <w:p w14:paraId="5FDA05DA"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176</w:t>
            </w:r>
          </w:p>
        </w:tc>
        <w:tc>
          <w:tcPr>
            <w:tcW w:w="1980" w:type="dxa"/>
            <w:tcBorders>
              <w:top w:val="nil"/>
              <w:left w:val="nil"/>
              <w:bottom w:val="single" w:sz="4" w:space="0" w:color="auto"/>
              <w:right w:val="single" w:sz="4" w:space="0" w:color="auto"/>
            </w:tcBorders>
            <w:shd w:val="clear" w:color="auto" w:fill="auto"/>
            <w:noWrap/>
            <w:vAlign w:val="center"/>
            <w:hideMark/>
          </w:tcPr>
          <w:p w14:paraId="4A1F60AD"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155.1%</w:t>
            </w:r>
          </w:p>
        </w:tc>
      </w:tr>
      <w:tr w:rsidR="00CD1660" w:rsidRPr="00CD1660" w14:paraId="2087581E"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3B97B6A" w14:textId="77777777" w:rsidR="00CD1660" w:rsidRPr="00CD1660" w:rsidRDefault="00CD1660" w:rsidP="00CD1660">
            <w:pPr>
              <w:spacing w:after="0" w:line="240" w:lineRule="auto"/>
              <w:jc w:val="right"/>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235" w:type="dxa"/>
            <w:tcBorders>
              <w:top w:val="nil"/>
              <w:left w:val="nil"/>
              <w:bottom w:val="single" w:sz="4" w:space="0" w:color="auto"/>
              <w:right w:val="single" w:sz="4" w:space="0" w:color="auto"/>
            </w:tcBorders>
            <w:shd w:val="clear" w:color="auto" w:fill="auto"/>
            <w:noWrap/>
            <w:vAlign w:val="center"/>
            <w:hideMark/>
          </w:tcPr>
          <w:p w14:paraId="6DC06E9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5EA172"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64542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c>
          <w:tcPr>
            <w:tcW w:w="1980" w:type="dxa"/>
            <w:tcBorders>
              <w:top w:val="nil"/>
              <w:left w:val="nil"/>
              <w:bottom w:val="single" w:sz="4" w:space="0" w:color="auto"/>
              <w:right w:val="single" w:sz="4" w:space="0" w:color="auto"/>
            </w:tcBorders>
            <w:shd w:val="clear" w:color="auto" w:fill="auto"/>
            <w:noWrap/>
            <w:vAlign w:val="center"/>
            <w:hideMark/>
          </w:tcPr>
          <w:p w14:paraId="02FC34EF"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 </w:t>
            </w:r>
          </w:p>
        </w:tc>
      </w:tr>
      <w:tr w:rsidR="00CD1660" w:rsidRPr="00CD1660" w14:paraId="419CE91E"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34C3F96"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Average Household Size</w:t>
            </w:r>
          </w:p>
        </w:tc>
        <w:tc>
          <w:tcPr>
            <w:tcW w:w="1235" w:type="dxa"/>
            <w:tcBorders>
              <w:top w:val="nil"/>
              <w:left w:val="nil"/>
              <w:bottom w:val="single" w:sz="4" w:space="0" w:color="auto"/>
              <w:right w:val="single" w:sz="4" w:space="0" w:color="auto"/>
            </w:tcBorders>
            <w:shd w:val="clear" w:color="auto" w:fill="auto"/>
            <w:noWrap/>
            <w:vAlign w:val="center"/>
            <w:hideMark/>
          </w:tcPr>
          <w:p w14:paraId="1F3008F4"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2.23</w:t>
            </w:r>
          </w:p>
        </w:tc>
        <w:tc>
          <w:tcPr>
            <w:tcW w:w="1080" w:type="dxa"/>
            <w:tcBorders>
              <w:top w:val="nil"/>
              <w:left w:val="nil"/>
              <w:bottom w:val="single" w:sz="4" w:space="0" w:color="auto"/>
              <w:right w:val="single" w:sz="4" w:space="0" w:color="auto"/>
            </w:tcBorders>
            <w:shd w:val="clear" w:color="auto" w:fill="auto"/>
            <w:noWrap/>
            <w:vAlign w:val="center"/>
            <w:hideMark/>
          </w:tcPr>
          <w:p w14:paraId="10D4399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2.10</w:t>
            </w:r>
          </w:p>
        </w:tc>
        <w:tc>
          <w:tcPr>
            <w:tcW w:w="1080" w:type="dxa"/>
            <w:tcBorders>
              <w:top w:val="nil"/>
              <w:left w:val="nil"/>
              <w:bottom w:val="single" w:sz="4" w:space="0" w:color="auto"/>
              <w:right w:val="single" w:sz="4" w:space="0" w:color="auto"/>
            </w:tcBorders>
            <w:shd w:val="clear" w:color="auto" w:fill="auto"/>
            <w:noWrap/>
            <w:vAlign w:val="center"/>
            <w:hideMark/>
          </w:tcPr>
          <w:p w14:paraId="38B2CC4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1.46</w:t>
            </w:r>
          </w:p>
        </w:tc>
        <w:tc>
          <w:tcPr>
            <w:tcW w:w="1980" w:type="dxa"/>
            <w:tcBorders>
              <w:top w:val="nil"/>
              <w:left w:val="nil"/>
              <w:bottom w:val="single" w:sz="4" w:space="0" w:color="auto"/>
              <w:right w:val="single" w:sz="4" w:space="0" w:color="auto"/>
            </w:tcBorders>
            <w:shd w:val="clear" w:color="auto" w:fill="auto"/>
            <w:noWrap/>
            <w:vAlign w:val="center"/>
            <w:hideMark/>
          </w:tcPr>
          <w:p w14:paraId="3E54430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-34.5%</w:t>
            </w:r>
          </w:p>
        </w:tc>
      </w:tr>
      <w:tr w:rsidR="00CD1660" w:rsidRPr="00CD1660" w14:paraId="77A708FA"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BA801DC"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Average Family Size</w:t>
            </w:r>
          </w:p>
        </w:tc>
        <w:tc>
          <w:tcPr>
            <w:tcW w:w="1235" w:type="dxa"/>
            <w:tcBorders>
              <w:top w:val="nil"/>
              <w:left w:val="nil"/>
              <w:bottom w:val="single" w:sz="4" w:space="0" w:color="auto"/>
              <w:right w:val="single" w:sz="4" w:space="0" w:color="auto"/>
            </w:tcBorders>
            <w:shd w:val="clear" w:color="auto" w:fill="auto"/>
            <w:noWrap/>
            <w:vAlign w:val="center"/>
            <w:hideMark/>
          </w:tcPr>
          <w:p w14:paraId="375C2638"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2.71</w:t>
            </w:r>
          </w:p>
        </w:tc>
        <w:tc>
          <w:tcPr>
            <w:tcW w:w="1080" w:type="dxa"/>
            <w:tcBorders>
              <w:top w:val="nil"/>
              <w:left w:val="nil"/>
              <w:bottom w:val="single" w:sz="4" w:space="0" w:color="auto"/>
              <w:right w:val="single" w:sz="4" w:space="0" w:color="auto"/>
            </w:tcBorders>
            <w:shd w:val="clear" w:color="auto" w:fill="auto"/>
            <w:noWrap/>
            <w:vAlign w:val="center"/>
            <w:hideMark/>
          </w:tcPr>
          <w:p w14:paraId="65330F4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2.62</w:t>
            </w:r>
          </w:p>
        </w:tc>
        <w:tc>
          <w:tcPr>
            <w:tcW w:w="1080" w:type="dxa"/>
            <w:tcBorders>
              <w:top w:val="nil"/>
              <w:left w:val="nil"/>
              <w:bottom w:val="single" w:sz="4" w:space="0" w:color="auto"/>
              <w:right w:val="single" w:sz="4" w:space="0" w:color="auto"/>
            </w:tcBorders>
            <w:shd w:val="clear" w:color="auto" w:fill="auto"/>
            <w:noWrap/>
            <w:vAlign w:val="center"/>
            <w:hideMark/>
          </w:tcPr>
          <w:p w14:paraId="72DD1371"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1.82</w:t>
            </w:r>
          </w:p>
        </w:tc>
        <w:tc>
          <w:tcPr>
            <w:tcW w:w="1980" w:type="dxa"/>
            <w:tcBorders>
              <w:top w:val="nil"/>
              <w:left w:val="nil"/>
              <w:bottom w:val="single" w:sz="4" w:space="0" w:color="auto"/>
              <w:right w:val="single" w:sz="4" w:space="0" w:color="auto"/>
            </w:tcBorders>
            <w:shd w:val="clear" w:color="auto" w:fill="auto"/>
            <w:noWrap/>
            <w:vAlign w:val="center"/>
            <w:hideMark/>
          </w:tcPr>
          <w:p w14:paraId="263FC64C"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-32.8%</w:t>
            </w:r>
          </w:p>
        </w:tc>
      </w:tr>
      <w:tr w:rsidR="00CD1660" w:rsidRPr="00CD1660" w14:paraId="492B1E2A" w14:textId="77777777" w:rsidTr="00DF41D0">
        <w:trPr>
          <w:trHeight w:val="288"/>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E1067F0" w14:textId="77777777" w:rsidR="00CD1660" w:rsidRPr="00CD1660" w:rsidRDefault="00CD1660" w:rsidP="00CD1660">
            <w:pPr>
              <w:spacing w:after="0" w:line="240" w:lineRule="auto"/>
              <w:jc w:val="right"/>
              <w:rPr>
                <w:rFonts w:ascii="Calibri" w:eastAsia="Times New Roman" w:hAnsi="Calibri" w:cs="Calibri"/>
                <w:i/>
                <w:iCs/>
                <w:color w:val="000000"/>
                <w:kern w:val="0"/>
                <w14:ligatures w14:val="none"/>
              </w:rPr>
            </w:pPr>
            <w:r w:rsidRPr="00CD1660">
              <w:rPr>
                <w:rFonts w:ascii="Calibri" w:eastAsia="Times New Roman" w:hAnsi="Calibri" w:cs="Calibri"/>
                <w:i/>
                <w:iCs/>
                <w:color w:val="000000"/>
                <w:kern w:val="0"/>
                <w14:ligatures w14:val="none"/>
              </w:rPr>
              <w:t>Median Household Income</w:t>
            </w:r>
          </w:p>
        </w:tc>
        <w:tc>
          <w:tcPr>
            <w:tcW w:w="1235" w:type="dxa"/>
            <w:tcBorders>
              <w:top w:val="nil"/>
              <w:left w:val="nil"/>
              <w:bottom w:val="single" w:sz="4" w:space="0" w:color="auto"/>
              <w:right w:val="single" w:sz="4" w:space="0" w:color="auto"/>
            </w:tcBorders>
            <w:shd w:val="clear" w:color="auto" w:fill="auto"/>
            <w:noWrap/>
            <w:vAlign w:val="center"/>
            <w:hideMark/>
          </w:tcPr>
          <w:p w14:paraId="36704B9D"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45,357</w:t>
            </w:r>
          </w:p>
        </w:tc>
        <w:tc>
          <w:tcPr>
            <w:tcW w:w="1080" w:type="dxa"/>
            <w:tcBorders>
              <w:top w:val="nil"/>
              <w:left w:val="nil"/>
              <w:bottom w:val="single" w:sz="4" w:space="0" w:color="auto"/>
              <w:right w:val="single" w:sz="4" w:space="0" w:color="auto"/>
            </w:tcBorders>
            <w:shd w:val="clear" w:color="auto" w:fill="auto"/>
            <w:noWrap/>
            <w:vAlign w:val="center"/>
            <w:hideMark/>
          </w:tcPr>
          <w:p w14:paraId="0D118F52"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54,676</w:t>
            </w:r>
          </w:p>
        </w:tc>
        <w:tc>
          <w:tcPr>
            <w:tcW w:w="1080" w:type="dxa"/>
            <w:tcBorders>
              <w:top w:val="nil"/>
              <w:left w:val="nil"/>
              <w:bottom w:val="single" w:sz="4" w:space="0" w:color="auto"/>
              <w:right w:val="single" w:sz="4" w:space="0" w:color="auto"/>
            </w:tcBorders>
            <w:shd w:val="clear" w:color="auto" w:fill="auto"/>
            <w:noWrap/>
            <w:vAlign w:val="center"/>
            <w:hideMark/>
          </w:tcPr>
          <w:p w14:paraId="75B3E2A0"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54,959</w:t>
            </w:r>
          </w:p>
        </w:tc>
        <w:tc>
          <w:tcPr>
            <w:tcW w:w="1980" w:type="dxa"/>
            <w:tcBorders>
              <w:top w:val="nil"/>
              <w:left w:val="nil"/>
              <w:bottom w:val="single" w:sz="4" w:space="0" w:color="auto"/>
              <w:right w:val="single" w:sz="4" w:space="0" w:color="auto"/>
            </w:tcBorders>
            <w:shd w:val="clear" w:color="auto" w:fill="auto"/>
            <w:noWrap/>
            <w:vAlign w:val="center"/>
            <w:hideMark/>
          </w:tcPr>
          <w:p w14:paraId="110A09EA" w14:textId="77777777" w:rsidR="00CD1660" w:rsidRPr="00CD1660" w:rsidRDefault="00CD1660" w:rsidP="00CD1660">
            <w:pPr>
              <w:spacing w:after="0" w:line="240" w:lineRule="auto"/>
              <w:jc w:val="center"/>
              <w:rPr>
                <w:rFonts w:ascii="Calibri" w:eastAsia="Times New Roman" w:hAnsi="Calibri" w:cs="Calibri"/>
                <w:color w:val="000000"/>
                <w:kern w:val="0"/>
                <w14:ligatures w14:val="none"/>
              </w:rPr>
            </w:pPr>
            <w:r w:rsidRPr="00CD1660">
              <w:rPr>
                <w:rFonts w:ascii="Calibri" w:eastAsia="Times New Roman" w:hAnsi="Calibri" w:cs="Calibri"/>
                <w:color w:val="000000"/>
                <w:kern w:val="0"/>
                <w14:ligatures w14:val="none"/>
              </w:rPr>
              <w:t>21.2%</w:t>
            </w:r>
          </w:p>
        </w:tc>
      </w:tr>
    </w:tbl>
    <w:p w14:paraId="4E443FFF" w14:textId="77777777" w:rsidR="00DF41D0" w:rsidRDefault="00DF41D0"/>
    <w:p w14:paraId="38748FEA" w14:textId="77BAA476" w:rsidR="00DF41D0" w:rsidRDefault="00ED4695">
      <w:pPr>
        <w:rPr>
          <w:b/>
          <w:bCs/>
        </w:rPr>
      </w:pPr>
      <w:r>
        <w:t xml:space="preserve">The table above provides a demographic snapshot </w:t>
      </w:r>
      <w:r w:rsidR="00DF41D0">
        <w:t xml:space="preserve">data from the 2020 Decennial Census </w:t>
      </w:r>
      <w:r>
        <w:t xml:space="preserve">of Carrabassett Valley from the year 2000 through the year 2020. </w:t>
      </w:r>
      <w:r w:rsidR="00DF41D0">
        <w:t>This includes total population, broken down by male and female; median age; total housing units (occupied vs. vacant); and total households. In nearly every one of these data points the percent change increased. The total population rose from 399 in the year 2000 to 673 in 2020, with a percent increase of 68.7%, with the female population rising more than the male population at 72%.</w:t>
      </w:r>
    </w:p>
    <w:p w14:paraId="5751A4F8" w14:textId="641ED83C" w:rsidR="00DF41D0" w:rsidRDefault="00DF41D0">
      <w:r>
        <w:t>In t</w:t>
      </w:r>
      <w:r w:rsidRPr="00DF41D0">
        <w:t xml:space="preserve">he </w:t>
      </w:r>
      <w:r>
        <w:t>year 2020 the median age for Carrabassett Valley was reported to be 56.3, which is an increase of 46.6% from the year 2000. Total housing units increased (27.6%), most notably the owner-occupied housing units increased 113.1% - from 145 in 2000 to 309 in 2020. Vacant housing units also increased by 19.3%, which may be due to an increased in vacation rentals as this table does not break out seasonal / vacation rental housing. See the Housing Chapter of this comprehensive plan for more detailed information on that topic.</w:t>
      </w:r>
    </w:p>
    <w:p w14:paraId="3DEC8101" w14:textId="5626EC43" w:rsidR="00DF41D0" w:rsidRDefault="00DF41D0">
      <w:r>
        <w:t xml:space="preserve">Total households increased substantially (97.8%) between 2000 and 2020, with a large increase in non-family households (155.1%). The average household and average family size decreased (-34.5% and -32.8% respectively). Median Household Income increased a modest amount (21.2%). </w:t>
      </w:r>
    </w:p>
    <w:p w14:paraId="3E933073" w14:textId="48F0C767" w:rsidR="00365CC5" w:rsidRPr="00E8656A" w:rsidRDefault="00365CC5" w:rsidP="00365CC5">
      <w:pPr>
        <w:rPr>
          <w:b/>
          <w:bCs/>
          <w:color w:val="2E74B5" w:themeColor="accent5" w:themeShade="BF"/>
          <w:sz w:val="40"/>
          <w:szCs w:val="40"/>
        </w:rPr>
      </w:pPr>
      <w:r w:rsidRPr="00E8656A">
        <w:rPr>
          <w:b/>
          <w:bCs/>
          <w:color w:val="2E74B5" w:themeColor="accent5" w:themeShade="BF"/>
          <w:sz w:val="40"/>
          <w:szCs w:val="40"/>
        </w:rPr>
        <w:lastRenderedPageBreak/>
        <w:t>BACKGROUND</w:t>
      </w:r>
      <w:r w:rsidR="00CA793C" w:rsidRPr="00E8656A">
        <w:rPr>
          <w:b/>
          <w:bCs/>
          <w:color w:val="2E74B5" w:themeColor="accent5" w:themeShade="BF"/>
          <w:sz w:val="40"/>
          <w:szCs w:val="40"/>
        </w:rPr>
        <w:t xml:space="preserve"> &amp; </w:t>
      </w:r>
      <w:r w:rsidR="00C14831" w:rsidRPr="00E8656A">
        <w:rPr>
          <w:b/>
          <w:bCs/>
          <w:color w:val="2E74B5" w:themeColor="accent5" w:themeShade="BF"/>
          <w:sz w:val="40"/>
          <w:szCs w:val="40"/>
        </w:rPr>
        <w:t xml:space="preserve">HISTORICAL </w:t>
      </w:r>
      <w:r w:rsidR="00CA793C" w:rsidRPr="00E8656A">
        <w:rPr>
          <w:b/>
          <w:bCs/>
          <w:color w:val="2E74B5" w:themeColor="accent5" w:themeShade="BF"/>
          <w:sz w:val="40"/>
          <w:szCs w:val="40"/>
        </w:rPr>
        <w:t>TRENDS</w:t>
      </w:r>
    </w:p>
    <w:p w14:paraId="2DB3A7A6" w14:textId="77777777" w:rsidR="00697B6D" w:rsidRDefault="00697B6D" w:rsidP="00365CC5"/>
    <w:p w14:paraId="7680935D" w14:textId="4EF198D7" w:rsidR="00A505A5" w:rsidRDefault="00DA6321" w:rsidP="00365CC5">
      <w:r>
        <w:rPr>
          <w:noProof/>
        </w:rPr>
        <w:drawing>
          <wp:inline distT="0" distB="0" distL="0" distR="0" wp14:anchorId="25814F57" wp14:editId="1C0EEE40">
            <wp:extent cx="5901267" cy="3742266"/>
            <wp:effectExtent l="0" t="0" r="4445" b="10795"/>
            <wp:docPr id="1053440006" name="Chart 1">
              <a:extLst xmlns:a="http://schemas.openxmlformats.org/drawingml/2006/main">
                <a:ext uri="{FF2B5EF4-FFF2-40B4-BE49-F238E27FC236}">
                  <a16:creationId xmlns:a16="http://schemas.microsoft.com/office/drawing/2014/main" id="{CF301588-1548-8FAA-7B60-170D80518E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80A5B4" w14:textId="77777777" w:rsidR="00CA793C" w:rsidRDefault="00CA793C" w:rsidP="00365CC5">
      <w:pPr>
        <w:rPr>
          <w:b/>
          <w:bCs/>
        </w:rPr>
      </w:pPr>
    </w:p>
    <w:p w14:paraId="5A173AC0" w14:textId="7DB650C0" w:rsidR="00DA6321" w:rsidRPr="00D304C2" w:rsidRDefault="00DA6321" w:rsidP="00DA6321">
      <w:r w:rsidRPr="00D304C2">
        <w:t xml:space="preserve">In 1970, approximately 40 people lived in Carrabassett Valley year-round. Three decades later, driven by the success of Sugarloaf, this number increased to </w:t>
      </w:r>
      <w:r w:rsidR="00D304C2">
        <w:t>399</w:t>
      </w:r>
      <w:r w:rsidRPr="00D304C2">
        <w:t xml:space="preserve">. </w:t>
      </w:r>
      <w:r w:rsidR="00C94167">
        <w:t>At that time, o</w:t>
      </w:r>
      <w:r w:rsidRPr="00D304C2">
        <w:t>n the busiest weekend of the year, the number again multiplie</w:t>
      </w:r>
      <w:r w:rsidR="00C94167">
        <w:t>d</w:t>
      </w:r>
      <w:r w:rsidRPr="00D304C2">
        <w:t xml:space="preserve"> to as high as 9,000 people.</w:t>
      </w:r>
      <w:r w:rsidR="00D304C2">
        <w:t xml:space="preserve"> Four decades later in 2020, the population is reported by the U.S. Census Bureau’s Decennial Census as 673, a </w:t>
      </w:r>
      <w:r w:rsidR="00C94167">
        <w:t xml:space="preserve">significant increase from the year 2000, and </w:t>
      </w:r>
      <w:r w:rsidR="00D304C2">
        <w:t>slight drop from 781 in 2010.</w:t>
      </w:r>
    </w:p>
    <w:p w14:paraId="4835BABB" w14:textId="6257CE5A" w:rsidR="00DA6321" w:rsidRPr="00D304C2" w:rsidRDefault="00DA6321" w:rsidP="00DA6321">
      <w:r w:rsidRPr="00D304C2">
        <w:t>This volatile ebb and flow of population makes projecting the town’s future population and demographics unusually difficult.  At the same time, the task is crucial if services and facilities in this town</w:t>
      </w:r>
      <w:r w:rsidR="00D304C2">
        <w:t xml:space="preserve"> </w:t>
      </w:r>
      <w:r w:rsidRPr="00D304C2">
        <w:t xml:space="preserve">are to be properly scheduled and sized. </w:t>
      </w:r>
    </w:p>
    <w:p w14:paraId="1C03F357" w14:textId="1C8EF875" w:rsidR="008B5E20" w:rsidRDefault="008B5E20">
      <w:pPr>
        <w:rPr>
          <w:b/>
          <w:bCs/>
        </w:rPr>
      </w:pPr>
      <w:r>
        <w:rPr>
          <w:b/>
          <w:bCs/>
        </w:rPr>
        <w:br w:type="page"/>
      </w:r>
    </w:p>
    <w:p w14:paraId="570D09E7" w14:textId="77777777" w:rsidR="00DA6321" w:rsidRDefault="00DA6321">
      <w:pPr>
        <w:rPr>
          <w:b/>
          <w:bCs/>
        </w:rPr>
      </w:pPr>
      <w:r>
        <w:rPr>
          <w:noProof/>
        </w:rPr>
        <w:lastRenderedPageBreak/>
        <w:drawing>
          <wp:inline distT="0" distB="0" distL="0" distR="0" wp14:anchorId="6B4F7202" wp14:editId="626F3A87">
            <wp:extent cx="5943600" cy="4220845"/>
            <wp:effectExtent l="0" t="0" r="0" b="8255"/>
            <wp:docPr id="628101786" name="Chart 1">
              <a:extLst xmlns:a="http://schemas.openxmlformats.org/drawingml/2006/main">
                <a:ext uri="{FF2B5EF4-FFF2-40B4-BE49-F238E27FC236}">
                  <a16:creationId xmlns:a16="http://schemas.microsoft.com/office/drawing/2014/main" id="{51A08013-77BF-D9B3-D6FF-E9F9FB2D34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6EB59F" w14:textId="77777777" w:rsidR="004D6640" w:rsidRDefault="004D6640"/>
    <w:p w14:paraId="6297FB20" w14:textId="46276587" w:rsidR="00DA6321" w:rsidRDefault="00327752">
      <w:pPr>
        <w:rPr>
          <w:b/>
          <w:bCs/>
        </w:rPr>
      </w:pPr>
      <w:r>
        <w:t xml:space="preserve">The figure </w:t>
      </w:r>
      <w:r w:rsidR="00A55520">
        <w:t>above</w:t>
      </w:r>
      <w:r>
        <w:t xml:space="preserve"> compares the rate of population change between Carrabassett Valley, Franklin County, and the State of Maine. All three geographies show a decline in the percent change: Maine and Franklin County are gradual, while Carrabassett Valley’s change swings more widely. This is primarily due to the smaller population size in Carrabassett Valley: when expressed as percent changes, small population growth or decline create a larger percent change.</w:t>
      </w:r>
      <w:r w:rsidR="00A55520">
        <w:t xml:space="preserve"> This data and figure show that the population in Carrabassett Valley is leveling off from the first establishment of the town: it grew quickly in the late 1970s and 1980s, then tapered off in the 1990s, grew again slightly in the 2000s and has declined again slightly in the 2010s.</w:t>
      </w:r>
      <w:r w:rsidR="00DA6321">
        <w:rPr>
          <w:b/>
          <w:bCs/>
        </w:rPr>
        <w:br w:type="page"/>
      </w:r>
    </w:p>
    <w:p w14:paraId="0E643541" w14:textId="77777777" w:rsidR="00B96266" w:rsidRPr="00E7484E" w:rsidRDefault="00B96266" w:rsidP="00B96266">
      <w:pPr>
        <w:rPr>
          <w:b/>
          <w:color w:val="2E74B5" w:themeColor="accent5" w:themeShade="BF"/>
          <w:sz w:val="40"/>
          <w:szCs w:val="40"/>
        </w:rPr>
      </w:pPr>
      <w:r w:rsidRPr="00E7484E">
        <w:rPr>
          <w:b/>
          <w:color w:val="2E74B5" w:themeColor="accent5" w:themeShade="BF"/>
          <w:sz w:val="40"/>
          <w:szCs w:val="40"/>
        </w:rPr>
        <w:lastRenderedPageBreak/>
        <w:t xml:space="preserve">MIGRATION ANALYSIS </w:t>
      </w:r>
    </w:p>
    <w:p w14:paraId="355BBA06" w14:textId="6F090F64" w:rsidR="00B96266" w:rsidRDefault="00B96266" w:rsidP="00B96266">
      <w:pPr>
        <w:rPr>
          <w:color w:val="404040"/>
        </w:rPr>
      </w:pPr>
      <w:r w:rsidRPr="00BA746D">
        <w:rPr>
          <w:color w:val="404040"/>
        </w:rPr>
        <w:t>Changes in a population depend on the number of births, deaths, and individuals moving in and out of an area. Analyses of these statistics indicate if a population is fluctuating due to migration or natural change (births and deaths). The Maine Office of Data, Research, and Vital Statistics collects and maintains records of births and deaths dating back to the 1890s</w:t>
      </w:r>
      <w:r w:rsidR="00BA746D" w:rsidRPr="00BA746D">
        <w:rPr>
          <w:color w:val="404040"/>
        </w:rPr>
        <w:t>.</w:t>
      </w:r>
      <w:r w:rsidRPr="00BA746D">
        <w:rPr>
          <w:color w:val="404040"/>
        </w:rPr>
        <w:t xml:space="preserve"> </w:t>
      </w:r>
      <w:r w:rsidR="00BA746D">
        <w:rPr>
          <w:color w:val="404040"/>
        </w:rPr>
        <w:t xml:space="preserve">Net migration is calculated by finding the difference between births and deaths, and then comparing that to the </w:t>
      </w:r>
      <w:r w:rsidR="00CF30E4">
        <w:rPr>
          <w:color w:val="404040"/>
        </w:rPr>
        <w:t xml:space="preserve">Decennial Census </w:t>
      </w:r>
      <w:r w:rsidR="00BA746D">
        <w:rPr>
          <w:color w:val="404040"/>
        </w:rPr>
        <w:t xml:space="preserve">population numbers. </w:t>
      </w:r>
      <w:r w:rsidRPr="00BA746D">
        <w:rPr>
          <w:color w:val="404040"/>
        </w:rPr>
        <w:t xml:space="preserve">According to </w:t>
      </w:r>
      <w:r w:rsidR="00CF30E4">
        <w:rPr>
          <w:color w:val="404040"/>
        </w:rPr>
        <w:t>the Decennial Census</w:t>
      </w:r>
      <w:r w:rsidRPr="00BA746D">
        <w:rPr>
          <w:color w:val="404040"/>
        </w:rPr>
        <w:t xml:space="preserve">, between 2000 and 2010 the Town of </w:t>
      </w:r>
      <w:r w:rsidR="00BA746D">
        <w:rPr>
          <w:color w:val="404040"/>
        </w:rPr>
        <w:t xml:space="preserve">Carrabassett Valley </w:t>
      </w:r>
      <w:r w:rsidRPr="00BA746D">
        <w:rPr>
          <w:color w:val="404040"/>
        </w:rPr>
        <w:t xml:space="preserve">experienced a </w:t>
      </w:r>
      <w:r w:rsidR="00CF30E4">
        <w:rPr>
          <w:color w:val="404040"/>
        </w:rPr>
        <w:t>substantial</w:t>
      </w:r>
      <w:r w:rsidRPr="00BA746D">
        <w:rPr>
          <w:color w:val="404040"/>
        </w:rPr>
        <w:t xml:space="preserve"> increase in population from </w:t>
      </w:r>
      <w:r w:rsidR="00BA746D">
        <w:rPr>
          <w:color w:val="404040"/>
        </w:rPr>
        <w:t>399</w:t>
      </w:r>
      <w:r w:rsidRPr="00BA746D">
        <w:rPr>
          <w:color w:val="404040"/>
        </w:rPr>
        <w:t xml:space="preserve"> to </w:t>
      </w:r>
      <w:r w:rsidR="00BA746D">
        <w:rPr>
          <w:color w:val="404040"/>
        </w:rPr>
        <w:t>781</w:t>
      </w:r>
      <w:r w:rsidRPr="00BA746D">
        <w:rPr>
          <w:color w:val="404040"/>
        </w:rPr>
        <w:t xml:space="preserve"> due to a positive natural change of </w:t>
      </w:r>
      <w:r w:rsidR="00BA746D">
        <w:rPr>
          <w:color w:val="404040"/>
        </w:rPr>
        <w:t>12</w:t>
      </w:r>
      <w:r w:rsidRPr="00BA746D">
        <w:rPr>
          <w:color w:val="404040"/>
        </w:rPr>
        <w:t xml:space="preserve"> people and a </w:t>
      </w:r>
      <w:r w:rsidR="00CF30E4">
        <w:rPr>
          <w:color w:val="404040"/>
        </w:rPr>
        <w:t xml:space="preserve">relatively </w:t>
      </w:r>
      <w:r w:rsidR="00BA746D">
        <w:rPr>
          <w:color w:val="404040"/>
        </w:rPr>
        <w:t>large</w:t>
      </w:r>
      <w:r w:rsidRPr="00BA746D">
        <w:rPr>
          <w:color w:val="404040"/>
        </w:rPr>
        <w:t xml:space="preserve"> estimated net migration </w:t>
      </w:r>
      <w:r w:rsidR="00BA746D">
        <w:rPr>
          <w:color w:val="404040"/>
        </w:rPr>
        <w:t xml:space="preserve">into Carrabassett Valley </w:t>
      </w:r>
      <w:r w:rsidRPr="00BA746D">
        <w:rPr>
          <w:color w:val="404040"/>
        </w:rPr>
        <w:t>of</w:t>
      </w:r>
      <w:r w:rsidR="00BA746D">
        <w:rPr>
          <w:color w:val="404040"/>
        </w:rPr>
        <w:t xml:space="preserve"> 370</w:t>
      </w:r>
      <w:r w:rsidRPr="00BA746D">
        <w:rPr>
          <w:color w:val="404040"/>
        </w:rPr>
        <w:t xml:space="preserve">. Between 2010 and 2020, </w:t>
      </w:r>
      <w:r w:rsidR="00BA746D">
        <w:rPr>
          <w:color w:val="404040"/>
        </w:rPr>
        <w:t xml:space="preserve">however, </w:t>
      </w:r>
      <w:r w:rsidR="00CF30E4">
        <w:rPr>
          <w:color w:val="404040"/>
        </w:rPr>
        <w:t xml:space="preserve">the Decennial Census </w:t>
      </w:r>
      <w:r w:rsidRPr="00BA746D">
        <w:rPr>
          <w:color w:val="404040"/>
        </w:rPr>
        <w:t xml:space="preserve">reports a </w:t>
      </w:r>
      <w:r w:rsidR="00BA746D">
        <w:rPr>
          <w:color w:val="404040"/>
        </w:rPr>
        <w:t>decrease</w:t>
      </w:r>
      <w:r w:rsidRPr="00BA746D">
        <w:rPr>
          <w:color w:val="404040"/>
        </w:rPr>
        <w:t xml:space="preserve"> in population from </w:t>
      </w:r>
      <w:r w:rsidR="00BA746D">
        <w:rPr>
          <w:color w:val="404040"/>
        </w:rPr>
        <w:t>781</w:t>
      </w:r>
      <w:r w:rsidRPr="00BA746D">
        <w:rPr>
          <w:color w:val="404040"/>
        </w:rPr>
        <w:t xml:space="preserve"> to </w:t>
      </w:r>
      <w:r w:rsidR="00BA746D">
        <w:rPr>
          <w:color w:val="404040"/>
        </w:rPr>
        <w:t>673</w:t>
      </w:r>
      <w:r w:rsidRPr="00BA746D">
        <w:rPr>
          <w:color w:val="404040"/>
        </w:rPr>
        <w:t>, with a</w:t>
      </w:r>
      <w:r w:rsidR="00CF30E4">
        <w:rPr>
          <w:color w:val="404040"/>
        </w:rPr>
        <w:t xml:space="preserve">n estimated </w:t>
      </w:r>
      <w:r w:rsidRPr="00BA746D">
        <w:rPr>
          <w:color w:val="404040"/>
        </w:rPr>
        <w:t>natural change of -</w:t>
      </w:r>
      <w:r w:rsidR="00BA746D">
        <w:rPr>
          <w:color w:val="404040"/>
        </w:rPr>
        <w:t>1</w:t>
      </w:r>
      <w:r w:rsidRPr="00BA746D">
        <w:rPr>
          <w:color w:val="404040"/>
        </w:rPr>
        <w:t xml:space="preserve"> </w:t>
      </w:r>
      <w:r w:rsidR="00BA746D">
        <w:rPr>
          <w:color w:val="404040"/>
        </w:rPr>
        <w:t xml:space="preserve">person </w:t>
      </w:r>
      <w:r w:rsidRPr="00BA746D">
        <w:rPr>
          <w:color w:val="404040"/>
        </w:rPr>
        <w:t>and</w:t>
      </w:r>
      <w:r w:rsidR="00CF30E4">
        <w:rPr>
          <w:color w:val="404040"/>
        </w:rPr>
        <w:t xml:space="preserve"> an</w:t>
      </w:r>
      <w:r w:rsidRPr="00BA746D">
        <w:rPr>
          <w:color w:val="404040"/>
        </w:rPr>
        <w:t xml:space="preserve"> estimated net migration</w:t>
      </w:r>
      <w:r w:rsidR="00BA746D">
        <w:rPr>
          <w:color w:val="404040"/>
        </w:rPr>
        <w:t xml:space="preserve"> away</w:t>
      </w:r>
      <w:r w:rsidRPr="00BA746D">
        <w:rPr>
          <w:color w:val="404040"/>
        </w:rPr>
        <w:t xml:space="preserve"> of </w:t>
      </w:r>
      <w:r w:rsidR="00BA746D">
        <w:rPr>
          <w:color w:val="404040"/>
        </w:rPr>
        <w:t>-107 people</w:t>
      </w:r>
      <w:r w:rsidRPr="00BA746D">
        <w:rPr>
          <w:color w:val="404040"/>
        </w:rPr>
        <w:t xml:space="preserve">. </w:t>
      </w:r>
      <w:r w:rsidR="00CF30E4">
        <w:rPr>
          <w:color w:val="404040"/>
        </w:rPr>
        <w:t>The table</w:t>
      </w:r>
      <w:r w:rsidRPr="00BA746D">
        <w:rPr>
          <w:color w:val="404040"/>
        </w:rPr>
        <w:t xml:space="preserve"> below shows </w:t>
      </w:r>
      <w:r w:rsidR="00CF30E4">
        <w:rPr>
          <w:color w:val="404040"/>
        </w:rPr>
        <w:t>net migration estimates</w:t>
      </w:r>
      <w:r w:rsidRPr="00BA746D">
        <w:rPr>
          <w:color w:val="404040"/>
        </w:rPr>
        <w:t>.</w:t>
      </w:r>
    </w:p>
    <w:p w14:paraId="1AFC4459" w14:textId="77777777" w:rsidR="00B96266" w:rsidRDefault="00B96266" w:rsidP="00B96266">
      <w:pPr>
        <w:rPr>
          <w:color w:val="404040"/>
        </w:rPr>
      </w:pPr>
      <w:r>
        <w:rPr>
          <w:color w:val="404040"/>
        </w:rPr>
        <w:t xml:space="preserve"> </w:t>
      </w:r>
    </w:p>
    <w:tbl>
      <w:tblPr>
        <w:tblW w:w="8720" w:type="dxa"/>
        <w:tblLook w:val="04A0" w:firstRow="1" w:lastRow="0" w:firstColumn="1" w:lastColumn="0" w:noHBand="0" w:noVBand="1"/>
      </w:tblPr>
      <w:tblGrid>
        <w:gridCol w:w="4940"/>
        <w:gridCol w:w="3780"/>
      </w:tblGrid>
      <w:tr w:rsidR="00E7484E" w:rsidRPr="00E7484E" w14:paraId="16296967" w14:textId="77777777" w:rsidTr="00E7484E">
        <w:trPr>
          <w:trHeight w:val="300"/>
        </w:trPr>
        <w:tc>
          <w:tcPr>
            <w:tcW w:w="8720" w:type="dxa"/>
            <w:gridSpan w:val="2"/>
            <w:tcBorders>
              <w:top w:val="single" w:sz="8" w:space="0" w:color="000000"/>
              <w:left w:val="single" w:sz="8" w:space="0" w:color="000000"/>
              <w:bottom w:val="single" w:sz="8" w:space="0" w:color="000000"/>
              <w:right w:val="single" w:sz="8" w:space="0" w:color="000000"/>
            </w:tcBorders>
            <w:shd w:val="clear" w:color="000000" w:fill="2E74B5"/>
            <w:vAlign w:val="center"/>
            <w:hideMark/>
          </w:tcPr>
          <w:p w14:paraId="0DB5E546" w14:textId="528C447C" w:rsidR="00E7484E" w:rsidRPr="00E7484E" w:rsidRDefault="00E7484E" w:rsidP="00E7484E">
            <w:pPr>
              <w:spacing w:after="0" w:line="240" w:lineRule="auto"/>
              <w:rPr>
                <w:rFonts w:ascii="Calibri" w:eastAsia="Times New Roman" w:hAnsi="Calibri" w:cs="Calibri"/>
                <w:b/>
                <w:bCs/>
                <w:color w:val="FFFFFF"/>
                <w:kern w:val="0"/>
                <w14:ligatures w14:val="none"/>
              </w:rPr>
            </w:pPr>
            <w:r w:rsidRPr="00E7484E">
              <w:rPr>
                <w:rFonts w:ascii="Calibri" w:eastAsia="Times New Roman" w:hAnsi="Calibri" w:cs="Calibri"/>
                <w:b/>
                <w:bCs/>
                <w:color w:val="FFFFFF" w:themeColor="background1"/>
                <w:kern w:val="0"/>
                <w14:ligatures w14:val="none"/>
              </w:rPr>
              <w:t>Net Migration for the Town of Carrabassett Valley (2000 – 2020)</w:t>
            </w:r>
          </w:p>
        </w:tc>
      </w:tr>
      <w:tr w:rsidR="00E7484E" w:rsidRPr="00E7484E" w14:paraId="7580B968"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000000" w:fill="2E74B5"/>
            <w:vAlign w:val="center"/>
            <w:hideMark/>
          </w:tcPr>
          <w:p w14:paraId="4DBD4605" w14:textId="77777777" w:rsidR="00E7484E" w:rsidRPr="00E7484E" w:rsidRDefault="00E7484E" w:rsidP="00E7484E">
            <w:pPr>
              <w:spacing w:after="0" w:line="240" w:lineRule="auto"/>
              <w:rPr>
                <w:rFonts w:ascii="Calibri" w:eastAsia="Times New Roman" w:hAnsi="Calibri" w:cs="Calibri"/>
                <w:b/>
                <w:bCs/>
                <w:color w:val="FFFFFF"/>
                <w:kern w:val="0"/>
                <w14:ligatures w14:val="none"/>
              </w:rPr>
            </w:pPr>
            <w:r w:rsidRPr="00E7484E">
              <w:rPr>
                <w:rFonts w:ascii="Calibri" w:eastAsia="Times New Roman" w:hAnsi="Calibri" w:cs="Calibri"/>
                <w:b/>
                <w:bCs/>
                <w:color w:val="FFFFFF" w:themeColor="background1"/>
                <w:kern w:val="0"/>
                <w14:ligatures w14:val="none"/>
              </w:rPr>
              <w:t>Data Point</w:t>
            </w:r>
          </w:p>
        </w:tc>
        <w:tc>
          <w:tcPr>
            <w:tcW w:w="3780" w:type="dxa"/>
            <w:tcBorders>
              <w:top w:val="nil"/>
              <w:left w:val="nil"/>
              <w:bottom w:val="single" w:sz="8" w:space="0" w:color="000000"/>
              <w:right w:val="single" w:sz="8" w:space="0" w:color="000000"/>
            </w:tcBorders>
            <w:shd w:val="clear" w:color="000000" w:fill="2E74B5"/>
            <w:vAlign w:val="center"/>
            <w:hideMark/>
          </w:tcPr>
          <w:p w14:paraId="71341118" w14:textId="77777777" w:rsidR="00E7484E" w:rsidRPr="00E7484E" w:rsidRDefault="00E7484E" w:rsidP="00E7484E">
            <w:pPr>
              <w:spacing w:after="0" w:line="240" w:lineRule="auto"/>
              <w:jc w:val="center"/>
              <w:rPr>
                <w:rFonts w:ascii="Calibri" w:eastAsia="Times New Roman" w:hAnsi="Calibri" w:cs="Calibri"/>
                <w:b/>
                <w:bCs/>
                <w:color w:val="FFFFFF"/>
                <w:kern w:val="0"/>
                <w14:ligatures w14:val="none"/>
              </w:rPr>
            </w:pPr>
            <w:r w:rsidRPr="00E7484E">
              <w:rPr>
                <w:rFonts w:ascii="Calibri" w:eastAsia="Times New Roman" w:hAnsi="Calibri" w:cs="Calibri"/>
                <w:b/>
                <w:bCs/>
                <w:color w:val="FFFFFF" w:themeColor="background1"/>
                <w:kern w:val="0"/>
                <w14:ligatures w14:val="none"/>
              </w:rPr>
              <w:t>Population</w:t>
            </w:r>
          </w:p>
        </w:tc>
      </w:tr>
      <w:tr w:rsidR="00E7484E" w:rsidRPr="00E7484E" w14:paraId="01341B82" w14:textId="77777777" w:rsidTr="00E7484E">
        <w:trPr>
          <w:trHeight w:val="300"/>
        </w:trPr>
        <w:tc>
          <w:tcPr>
            <w:tcW w:w="8720" w:type="dxa"/>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655B600" w14:textId="77777777" w:rsidR="00E7484E" w:rsidRPr="00E7484E" w:rsidRDefault="00E7484E" w:rsidP="00E7484E">
            <w:pPr>
              <w:spacing w:after="0" w:line="240" w:lineRule="auto"/>
              <w:rPr>
                <w:rFonts w:ascii="Calibri" w:eastAsia="Times New Roman" w:hAnsi="Calibri" w:cs="Calibri"/>
                <w:b/>
                <w:bCs/>
                <w:color w:val="000000"/>
                <w:kern w:val="0"/>
                <w14:ligatures w14:val="none"/>
              </w:rPr>
            </w:pPr>
            <w:r w:rsidRPr="00E7484E">
              <w:rPr>
                <w:rFonts w:ascii="Calibri" w:eastAsia="Times New Roman" w:hAnsi="Calibri" w:cs="Calibri"/>
                <w:b/>
                <w:bCs/>
                <w:kern w:val="0"/>
                <w14:ligatures w14:val="none"/>
              </w:rPr>
              <w:t>2000 to 2010 Net Migration</w:t>
            </w:r>
          </w:p>
        </w:tc>
      </w:tr>
      <w:tr w:rsidR="00E7484E" w:rsidRPr="00E7484E" w14:paraId="71EB36C7"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47100738"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2000 Decennial Census</w:t>
            </w:r>
          </w:p>
        </w:tc>
        <w:tc>
          <w:tcPr>
            <w:tcW w:w="3780" w:type="dxa"/>
            <w:tcBorders>
              <w:top w:val="nil"/>
              <w:left w:val="nil"/>
              <w:bottom w:val="single" w:sz="8" w:space="0" w:color="000000"/>
              <w:right w:val="single" w:sz="8" w:space="0" w:color="000000"/>
            </w:tcBorders>
            <w:shd w:val="clear" w:color="auto" w:fill="auto"/>
            <w:vAlign w:val="center"/>
            <w:hideMark/>
          </w:tcPr>
          <w:p w14:paraId="4CF1C3A4"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399</w:t>
            </w:r>
          </w:p>
        </w:tc>
      </w:tr>
      <w:tr w:rsidR="00E7484E" w:rsidRPr="00E7484E" w14:paraId="6D2924C9"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67A16614"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Natural Change*</w:t>
            </w:r>
          </w:p>
        </w:tc>
        <w:tc>
          <w:tcPr>
            <w:tcW w:w="3780" w:type="dxa"/>
            <w:tcBorders>
              <w:top w:val="nil"/>
              <w:left w:val="nil"/>
              <w:bottom w:val="single" w:sz="8" w:space="0" w:color="000000"/>
              <w:right w:val="single" w:sz="8" w:space="0" w:color="000000"/>
            </w:tcBorders>
            <w:shd w:val="clear" w:color="auto" w:fill="auto"/>
            <w:vAlign w:val="center"/>
            <w:hideMark/>
          </w:tcPr>
          <w:p w14:paraId="35D5FBC9"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12</w:t>
            </w:r>
          </w:p>
        </w:tc>
      </w:tr>
      <w:tr w:rsidR="00E7484E" w:rsidRPr="00E7484E" w14:paraId="423CEA74"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5E7519E5"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Estimated Net Migration*</w:t>
            </w:r>
          </w:p>
        </w:tc>
        <w:tc>
          <w:tcPr>
            <w:tcW w:w="3780" w:type="dxa"/>
            <w:tcBorders>
              <w:top w:val="nil"/>
              <w:left w:val="nil"/>
              <w:bottom w:val="single" w:sz="8" w:space="0" w:color="000000"/>
              <w:right w:val="single" w:sz="8" w:space="0" w:color="000000"/>
            </w:tcBorders>
            <w:shd w:val="clear" w:color="auto" w:fill="auto"/>
            <w:vAlign w:val="center"/>
            <w:hideMark/>
          </w:tcPr>
          <w:p w14:paraId="4D6F4F2A"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370</w:t>
            </w:r>
          </w:p>
        </w:tc>
      </w:tr>
      <w:tr w:rsidR="00E7484E" w:rsidRPr="00E7484E" w14:paraId="1AD4BDC5"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35FB4912"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2010 Census</w:t>
            </w:r>
          </w:p>
        </w:tc>
        <w:tc>
          <w:tcPr>
            <w:tcW w:w="3780" w:type="dxa"/>
            <w:tcBorders>
              <w:top w:val="nil"/>
              <w:left w:val="nil"/>
              <w:bottom w:val="single" w:sz="8" w:space="0" w:color="000000"/>
              <w:right w:val="single" w:sz="8" w:space="0" w:color="000000"/>
            </w:tcBorders>
            <w:shd w:val="clear" w:color="auto" w:fill="auto"/>
            <w:vAlign w:val="center"/>
            <w:hideMark/>
          </w:tcPr>
          <w:p w14:paraId="042F04B8"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781</w:t>
            </w:r>
          </w:p>
        </w:tc>
      </w:tr>
      <w:tr w:rsidR="00E7484E" w:rsidRPr="00E7484E" w14:paraId="623E683A" w14:textId="77777777" w:rsidTr="00E7484E">
        <w:trPr>
          <w:trHeight w:val="168"/>
        </w:trPr>
        <w:tc>
          <w:tcPr>
            <w:tcW w:w="87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0E782"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 </w:t>
            </w:r>
          </w:p>
        </w:tc>
      </w:tr>
      <w:tr w:rsidR="00E7484E" w:rsidRPr="00E7484E" w14:paraId="7320FC7C" w14:textId="77777777" w:rsidTr="00E7484E">
        <w:trPr>
          <w:trHeight w:val="300"/>
        </w:trPr>
        <w:tc>
          <w:tcPr>
            <w:tcW w:w="8720" w:type="dxa"/>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0F31589B" w14:textId="77777777" w:rsidR="00E7484E" w:rsidRPr="00E7484E" w:rsidRDefault="00E7484E" w:rsidP="00E7484E">
            <w:pPr>
              <w:spacing w:after="0" w:line="240" w:lineRule="auto"/>
              <w:rPr>
                <w:rFonts w:ascii="Calibri" w:eastAsia="Times New Roman" w:hAnsi="Calibri" w:cs="Calibri"/>
                <w:b/>
                <w:bCs/>
                <w:color w:val="000000"/>
                <w:kern w:val="0"/>
                <w14:ligatures w14:val="none"/>
              </w:rPr>
            </w:pPr>
            <w:r w:rsidRPr="00E7484E">
              <w:rPr>
                <w:rFonts w:ascii="Calibri" w:eastAsia="Times New Roman" w:hAnsi="Calibri" w:cs="Calibri"/>
                <w:b/>
                <w:bCs/>
                <w:kern w:val="0"/>
                <w14:ligatures w14:val="none"/>
              </w:rPr>
              <w:t>2010 to 2020 Net Migration</w:t>
            </w:r>
          </w:p>
        </w:tc>
      </w:tr>
      <w:tr w:rsidR="00E7484E" w:rsidRPr="00E7484E" w14:paraId="01578DD7"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53831A81"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2010 Decennial Census</w:t>
            </w:r>
          </w:p>
        </w:tc>
        <w:tc>
          <w:tcPr>
            <w:tcW w:w="3780" w:type="dxa"/>
            <w:tcBorders>
              <w:top w:val="nil"/>
              <w:left w:val="nil"/>
              <w:bottom w:val="single" w:sz="8" w:space="0" w:color="000000"/>
              <w:right w:val="single" w:sz="8" w:space="0" w:color="000000"/>
            </w:tcBorders>
            <w:shd w:val="clear" w:color="auto" w:fill="auto"/>
            <w:vAlign w:val="center"/>
            <w:hideMark/>
          </w:tcPr>
          <w:p w14:paraId="679CB1A2"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781</w:t>
            </w:r>
          </w:p>
        </w:tc>
      </w:tr>
      <w:tr w:rsidR="00E7484E" w:rsidRPr="00E7484E" w14:paraId="665A1A8B"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16E9197F"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Natural Change*</w:t>
            </w:r>
          </w:p>
        </w:tc>
        <w:tc>
          <w:tcPr>
            <w:tcW w:w="3780" w:type="dxa"/>
            <w:tcBorders>
              <w:top w:val="nil"/>
              <w:left w:val="nil"/>
              <w:bottom w:val="single" w:sz="8" w:space="0" w:color="000000"/>
              <w:right w:val="single" w:sz="8" w:space="0" w:color="000000"/>
            </w:tcBorders>
            <w:shd w:val="clear" w:color="auto" w:fill="auto"/>
            <w:vAlign w:val="center"/>
            <w:hideMark/>
          </w:tcPr>
          <w:p w14:paraId="0783CCF2"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-1</w:t>
            </w:r>
          </w:p>
        </w:tc>
      </w:tr>
      <w:tr w:rsidR="00E7484E" w:rsidRPr="00E7484E" w14:paraId="5B7837FB"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29B938A7"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Estimated Net Migration*</w:t>
            </w:r>
          </w:p>
        </w:tc>
        <w:tc>
          <w:tcPr>
            <w:tcW w:w="3780" w:type="dxa"/>
            <w:tcBorders>
              <w:top w:val="nil"/>
              <w:left w:val="nil"/>
              <w:bottom w:val="single" w:sz="8" w:space="0" w:color="000000"/>
              <w:right w:val="single" w:sz="8" w:space="0" w:color="000000"/>
            </w:tcBorders>
            <w:shd w:val="clear" w:color="auto" w:fill="auto"/>
            <w:vAlign w:val="center"/>
            <w:hideMark/>
          </w:tcPr>
          <w:p w14:paraId="41BF1AE9"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-107</w:t>
            </w:r>
          </w:p>
        </w:tc>
      </w:tr>
      <w:tr w:rsidR="00E7484E" w:rsidRPr="00E7484E" w14:paraId="04417015" w14:textId="77777777" w:rsidTr="00E7484E">
        <w:trPr>
          <w:trHeight w:val="300"/>
        </w:trPr>
        <w:tc>
          <w:tcPr>
            <w:tcW w:w="4940" w:type="dxa"/>
            <w:tcBorders>
              <w:top w:val="nil"/>
              <w:left w:val="single" w:sz="8" w:space="0" w:color="000000"/>
              <w:bottom w:val="single" w:sz="8" w:space="0" w:color="000000"/>
              <w:right w:val="single" w:sz="8" w:space="0" w:color="000000"/>
            </w:tcBorders>
            <w:shd w:val="clear" w:color="auto" w:fill="auto"/>
            <w:vAlign w:val="center"/>
            <w:hideMark/>
          </w:tcPr>
          <w:p w14:paraId="2E088222" w14:textId="77777777" w:rsidR="00E7484E" w:rsidRPr="00E7484E" w:rsidRDefault="00E7484E" w:rsidP="00E7484E">
            <w:pPr>
              <w:spacing w:after="0" w:line="240" w:lineRule="auto"/>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Estimated 2020 Decennial Census</w:t>
            </w:r>
          </w:p>
        </w:tc>
        <w:tc>
          <w:tcPr>
            <w:tcW w:w="3780" w:type="dxa"/>
            <w:tcBorders>
              <w:top w:val="nil"/>
              <w:left w:val="nil"/>
              <w:bottom w:val="single" w:sz="8" w:space="0" w:color="000000"/>
              <w:right w:val="single" w:sz="8" w:space="0" w:color="000000"/>
            </w:tcBorders>
            <w:shd w:val="clear" w:color="auto" w:fill="auto"/>
            <w:vAlign w:val="center"/>
            <w:hideMark/>
          </w:tcPr>
          <w:p w14:paraId="1775260D" w14:textId="77777777" w:rsidR="00E7484E" w:rsidRPr="00E7484E" w:rsidRDefault="00E7484E" w:rsidP="00E7484E">
            <w:pPr>
              <w:spacing w:after="0" w:line="240" w:lineRule="auto"/>
              <w:jc w:val="center"/>
              <w:rPr>
                <w:rFonts w:ascii="Calibri" w:eastAsia="Times New Roman" w:hAnsi="Calibri" w:cs="Calibri"/>
                <w:color w:val="000000"/>
                <w:kern w:val="0"/>
                <w14:ligatures w14:val="none"/>
              </w:rPr>
            </w:pPr>
            <w:r w:rsidRPr="00E7484E">
              <w:rPr>
                <w:rFonts w:ascii="Calibri" w:eastAsia="Times New Roman" w:hAnsi="Calibri" w:cs="Calibri"/>
                <w:color w:val="000000"/>
                <w:kern w:val="0"/>
                <w14:ligatures w14:val="none"/>
              </w:rPr>
              <w:t>673</w:t>
            </w:r>
          </w:p>
        </w:tc>
      </w:tr>
      <w:tr w:rsidR="00E7484E" w:rsidRPr="00E7484E" w14:paraId="7FEEAFED" w14:textId="77777777" w:rsidTr="00E7484E">
        <w:trPr>
          <w:trHeight w:val="1200"/>
        </w:trPr>
        <w:tc>
          <w:tcPr>
            <w:tcW w:w="8720"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14:paraId="6900BD82" w14:textId="77777777" w:rsidR="00E7484E" w:rsidRDefault="00E7484E" w:rsidP="00E7484E">
            <w:pPr>
              <w:spacing w:after="0" w:line="240" w:lineRule="auto"/>
              <w:rPr>
                <w:rFonts w:ascii="Calibri" w:eastAsia="Times New Roman" w:hAnsi="Calibri" w:cs="Calibri"/>
                <w:i/>
                <w:iCs/>
                <w:color w:val="000000"/>
                <w:kern w:val="0"/>
                <w14:ligatures w14:val="none"/>
              </w:rPr>
            </w:pPr>
            <w:r w:rsidRPr="00E7484E">
              <w:rPr>
                <w:rFonts w:ascii="Calibri" w:eastAsia="Times New Roman" w:hAnsi="Calibri" w:cs="Calibri"/>
                <w:i/>
                <w:iCs/>
                <w:color w:val="000000"/>
                <w:kern w:val="0"/>
                <w14:ligatures w14:val="none"/>
              </w:rPr>
              <w:t xml:space="preserve">Source: Maine Office of Data, Research, and Vital Statistics births and deaths records; U.S. Census Decennial Census Total Population </w:t>
            </w:r>
          </w:p>
          <w:p w14:paraId="4577F919" w14:textId="77777777" w:rsidR="00E7484E" w:rsidRDefault="00E7484E" w:rsidP="00E7484E">
            <w:pPr>
              <w:spacing w:after="0" w:line="240" w:lineRule="auto"/>
              <w:rPr>
                <w:rFonts w:ascii="Calibri" w:eastAsia="Times New Roman" w:hAnsi="Calibri" w:cs="Calibri"/>
                <w:i/>
                <w:iCs/>
                <w:color w:val="000000"/>
                <w:kern w:val="0"/>
                <w14:ligatures w14:val="none"/>
              </w:rPr>
            </w:pPr>
          </w:p>
          <w:p w14:paraId="5D758150" w14:textId="5C73119F" w:rsidR="00E7484E" w:rsidRPr="00E7484E" w:rsidRDefault="00E7484E" w:rsidP="00E7484E">
            <w:pPr>
              <w:spacing w:after="0" w:line="240" w:lineRule="auto"/>
              <w:rPr>
                <w:rFonts w:ascii="Calibri" w:eastAsia="Times New Roman" w:hAnsi="Calibri" w:cs="Calibri"/>
                <w:i/>
                <w:iCs/>
                <w:color w:val="000000"/>
                <w:kern w:val="0"/>
                <w14:ligatures w14:val="none"/>
              </w:rPr>
            </w:pPr>
            <w:r w:rsidRPr="00E7484E">
              <w:rPr>
                <w:rFonts w:ascii="Calibri" w:eastAsia="Times New Roman" w:hAnsi="Calibri" w:cs="Calibri"/>
                <w:i/>
                <w:iCs/>
                <w:color w:val="000000"/>
                <w:kern w:val="0"/>
                <w14:ligatures w14:val="none"/>
              </w:rPr>
              <w:t>*The Maine Office of Data, Research, and Vital Statistics births and deaths records did not have data for 2000, 2011, or 2012.</w:t>
            </w:r>
          </w:p>
        </w:tc>
      </w:tr>
    </w:tbl>
    <w:p w14:paraId="0BBA8A9C" w14:textId="77777777" w:rsidR="00B96266" w:rsidRDefault="00B96266">
      <w:pPr>
        <w:rPr>
          <w:b/>
          <w:bCs/>
          <w:color w:val="2E74B5" w:themeColor="accent5" w:themeShade="BF"/>
          <w:sz w:val="40"/>
          <w:szCs w:val="40"/>
        </w:rPr>
      </w:pPr>
      <w:r>
        <w:rPr>
          <w:b/>
          <w:bCs/>
          <w:color w:val="2E74B5" w:themeColor="accent5" w:themeShade="BF"/>
          <w:sz w:val="40"/>
          <w:szCs w:val="40"/>
        </w:rPr>
        <w:br w:type="page"/>
      </w:r>
    </w:p>
    <w:p w14:paraId="79F731EE" w14:textId="02FBAA22" w:rsidR="006074D9" w:rsidRPr="00E8656A" w:rsidRDefault="00E8656A">
      <w:pPr>
        <w:rPr>
          <w:b/>
          <w:bCs/>
          <w:color w:val="2E74B5" w:themeColor="accent5" w:themeShade="BF"/>
          <w:sz w:val="40"/>
          <w:szCs w:val="40"/>
        </w:rPr>
      </w:pPr>
      <w:r w:rsidRPr="00E8656A">
        <w:rPr>
          <w:b/>
          <w:bCs/>
          <w:color w:val="2E74B5" w:themeColor="accent5" w:themeShade="BF"/>
          <w:sz w:val="40"/>
          <w:szCs w:val="40"/>
        </w:rPr>
        <w:lastRenderedPageBreak/>
        <w:t>POPULATION PROJECTIONS AND COMPARISONS</w:t>
      </w:r>
    </w:p>
    <w:p w14:paraId="2AFCFA9F" w14:textId="77777777" w:rsidR="004D6640" w:rsidRDefault="004D6640">
      <w:pPr>
        <w:rPr>
          <w:b/>
          <w:bCs/>
        </w:rPr>
      </w:pPr>
    </w:p>
    <w:tbl>
      <w:tblPr>
        <w:tblStyle w:val="TableGrid"/>
        <w:tblW w:w="9850" w:type="dxa"/>
        <w:tblInd w:w="-5" w:type="dxa"/>
        <w:tblLook w:val="04A0" w:firstRow="1" w:lastRow="0" w:firstColumn="1" w:lastColumn="0" w:noHBand="0" w:noVBand="1"/>
      </w:tblPr>
      <w:tblGrid>
        <w:gridCol w:w="992"/>
        <w:gridCol w:w="1170"/>
        <w:gridCol w:w="1107"/>
        <w:gridCol w:w="1143"/>
        <w:gridCol w:w="1170"/>
        <w:gridCol w:w="1107"/>
        <w:gridCol w:w="1143"/>
        <w:gridCol w:w="1107"/>
        <w:gridCol w:w="911"/>
      </w:tblGrid>
      <w:tr w:rsidR="00A248B5" w:rsidRPr="004703EA" w14:paraId="5BF668FE" w14:textId="77777777" w:rsidTr="00D9587E">
        <w:trPr>
          <w:trHeight w:val="300"/>
        </w:trPr>
        <w:tc>
          <w:tcPr>
            <w:tcW w:w="992" w:type="dxa"/>
            <w:noWrap/>
            <w:vAlign w:val="center"/>
            <w:hideMark/>
          </w:tcPr>
          <w:p w14:paraId="77433C4F" w14:textId="4B7E6F4C" w:rsidR="008958A5" w:rsidRPr="004703EA" w:rsidRDefault="008958A5">
            <w:pPr>
              <w:rPr>
                <w:b/>
                <w:bCs/>
              </w:rPr>
            </w:pPr>
          </w:p>
        </w:tc>
        <w:tc>
          <w:tcPr>
            <w:tcW w:w="3420" w:type="dxa"/>
            <w:gridSpan w:val="3"/>
            <w:noWrap/>
            <w:vAlign w:val="center"/>
            <w:hideMark/>
          </w:tcPr>
          <w:p w14:paraId="2CF2B665" w14:textId="1BB74679" w:rsidR="008958A5" w:rsidRPr="004703EA" w:rsidRDefault="008958A5" w:rsidP="003A5EB1">
            <w:pPr>
              <w:jc w:val="center"/>
              <w:rPr>
                <w:b/>
                <w:bCs/>
              </w:rPr>
            </w:pPr>
            <w:r w:rsidRPr="004703EA">
              <w:rPr>
                <w:b/>
                <w:bCs/>
              </w:rPr>
              <w:t xml:space="preserve">Population </w:t>
            </w:r>
            <w:r w:rsidR="003A5EB1" w:rsidRPr="004703EA">
              <w:rPr>
                <w:b/>
                <w:bCs/>
              </w:rPr>
              <w:t>O</w:t>
            </w:r>
            <w:r w:rsidRPr="004703EA">
              <w:rPr>
                <w:b/>
                <w:bCs/>
              </w:rPr>
              <w:t>bserved</w:t>
            </w:r>
          </w:p>
        </w:tc>
        <w:tc>
          <w:tcPr>
            <w:tcW w:w="4527" w:type="dxa"/>
            <w:gridSpan w:val="4"/>
            <w:noWrap/>
            <w:vAlign w:val="center"/>
            <w:hideMark/>
          </w:tcPr>
          <w:p w14:paraId="764C0C11" w14:textId="54352E7D" w:rsidR="008958A5" w:rsidRPr="004703EA" w:rsidRDefault="008958A5" w:rsidP="003A5EB1">
            <w:pPr>
              <w:jc w:val="center"/>
              <w:rPr>
                <w:b/>
                <w:bCs/>
              </w:rPr>
            </w:pPr>
            <w:r w:rsidRPr="004703EA">
              <w:rPr>
                <w:b/>
                <w:bCs/>
              </w:rPr>
              <w:t xml:space="preserve">Population </w:t>
            </w:r>
            <w:r w:rsidR="003A5EB1" w:rsidRPr="004703EA">
              <w:rPr>
                <w:b/>
                <w:bCs/>
              </w:rPr>
              <w:t>P</w:t>
            </w:r>
            <w:r w:rsidRPr="004703EA">
              <w:rPr>
                <w:b/>
                <w:bCs/>
              </w:rPr>
              <w:t>rojected</w:t>
            </w:r>
          </w:p>
        </w:tc>
        <w:tc>
          <w:tcPr>
            <w:tcW w:w="911" w:type="dxa"/>
            <w:vAlign w:val="center"/>
            <w:hideMark/>
          </w:tcPr>
          <w:p w14:paraId="378DF4D5" w14:textId="3E7893F6" w:rsidR="008958A5" w:rsidRPr="004703EA" w:rsidRDefault="008958A5" w:rsidP="003A5EB1">
            <w:pPr>
              <w:jc w:val="center"/>
              <w:rPr>
                <w:b/>
                <w:bCs/>
              </w:rPr>
            </w:pPr>
            <w:r w:rsidRPr="004703EA">
              <w:rPr>
                <w:b/>
                <w:bCs/>
              </w:rPr>
              <w:t xml:space="preserve">Total </w:t>
            </w:r>
            <w:r w:rsidR="003A5EB1" w:rsidRPr="004703EA">
              <w:rPr>
                <w:b/>
                <w:bCs/>
              </w:rPr>
              <w:t>P</w:t>
            </w:r>
            <w:r w:rsidRPr="004703EA">
              <w:rPr>
                <w:b/>
                <w:bCs/>
              </w:rPr>
              <w:t xml:space="preserve">ercent </w:t>
            </w:r>
            <w:r w:rsidR="003A5EB1" w:rsidRPr="004703EA">
              <w:rPr>
                <w:b/>
                <w:bCs/>
              </w:rPr>
              <w:t>C</w:t>
            </w:r>
            <w:r w:rsidRPr="004703EA">
              <w:rPr>
                <w:b/>
                <w:bCs/>
              </w:rPr>
              <w:t>hange</w:t>
            </w:r>
          </w:p>
        </w:tc>
      </w:tr>
      <w:tr w:rsidR="00120966" w:rsidRPr="004703EA" w14:paraId="28717305" w14:textId="77777777" w:rsidTr="00D9587E">
        <w:trPr>
          <w:trHeight w:val="300"/>
        </w:trPr>
        <w:tc>
          <w:tcPr>
            <w:tcW w:w="992" w:type="dxa"/>
            <w:noWrap/>
            <w:vAlign w:val="center"/>
            <w:hideMark/>
          </w:tcPr>
          <w:p w14:paraId="1726BB68" w14:textId="21F19218" w:rsidR="008958A5" w:rsidRPr="004703EA" w:rsidRDefault="008958A5">
            <w:pPr>
              <w:rPr>
                <w:b/>
                <w:bCs/>
              </w:rPr>
            </w:pPr>
            <w:r w:rsidRPr="004703EA">
              <w:rPr>
                <w:b/>
                <w:bCs/>
              </w:rPr>
              <w:t> </w:t>
            </w:r>
            <w:r w:rsidR="00A0249F">
              <w:rPr>
                <w:b/>
                <w:bCs/>
              </w:rPr>
              <w:t>Year</w:t>
            </w:r>
          </w:p>
        </w:tc>
        <w:tc>
          <w:tcPr>
            <w:tcW w:w="1170" w:type="dxa"/>
            <w:noWrap/>
            <w:vAlign w:val="center"/>
            <w:hideMark/>
          </w:tcPr>
          <w:p w14:paraId="73741915" w14:textId="77777777" w:rsidR="008958A5" w:rsidRPr="004703EA" w:rsidRDefault="008958A5" w:rsidP="003A5EB1">
            <w:pPr>
              <w:jc w:val="center"/>
              <w:rPr>
                <w:b/>
                <w:bCs/>
              </w:rPr>
            </w:pPr>
            <w:r w:rsidRPr="004703EA">
              <w:rPr>
                <w:b/>
                <w:bCs/>
              </w:rPr>
              <w:t>2010</w:t>
            </w:r>
          </w:p>
        </w:tc>
        <w:tc>
          <w:tcPr>
            <w:tcW w:w="1107" w:type="dxa"/>
            <w:noWrap/>
            <w:vAlign w:val="center"/>
            <w:hideMark/>
          </w:tcPr>
          <w:p w14:paraId="47F3374F" w14:textId="77777777" w:rsidR="008958A5" w:rsidRPr="004703EA" w:rsidRDefault="008958A5" w:rsidP="003A5EB1">
            <w:pPr>
              <w:jc w:val="center"/>
              <w:rPr>
                <w:b/>
                <w:bCs/>
              </w:rPr>
            </w:pPr>
            <w:r w:rsidRPr="004703EA">
              <w:rPr>
                <w:b/>
                <w:bCs/>
              </w:rPr>
              <w:t>2015</w:t>
            </w:r>
          </w:p>
        </w:tc>
        <w:tc>
          <w:tcPr>
            <w:tcW w:w="1143" w:type="dxa"/>
            <w:noWrap/>
            <w:vAlign w:val="center"/>
            <w:hideMark/>
          </w:tcPr>
          <w:p w14:paraId="589DB521" w14:textId="77777777" w:rsidR="008958A5" w:rsidRPr="004703EA" w:rsidRDefault="008958A5" w:rsidP="003A5EB1">
            <w:pPr>
              <w:jc w:val="center"/>
              <w:rPr>
                <w:b/>
                <w:bCs/>
              </w:rPr>
            </w:pPr>
            <w:r w:rsidRPr="004703EA">
              <w:rPr>
                <w:b/>
                <w:bCs/>
              </w:rPr>
              <w:t>2020</w:t>
            </w:r>
          </w:p>
        </w:tc>
        <w:tc>
          <w:tcPr>
            <w:tcW w:w="1170" w:type="dxa"/>
            <w:noWrap/>
            <w:vAlign w:val="center"/>
            <w:hideMark/>
          </w:tcPr>
          <w:p w14:paraId="353A8E40" w14:textId="77777777" w:rsidR="008958A5" w:rsidRPr="004703EA" w:rsidRDefault="008958A5" w:rsidP="003A5EB1">
            <w:pPr>
              <w:jc w:val="center"/>
              <w:rPr>
                <w:b/>
                <w:bCs/>
              </w:rPr>
            </w:pPr>
            <w:r w:rsidRPr="004703EA">
              <w:rPr>
                <w:b/>
                <w:bCs/>
              </w:rPr>
              <w:t>2025</w:t>
            </w:r>
          </w:p>
        </w:tc>
        <w:tc>
          <w:tcPr>
            <w:tcW w:w="1107" w:type="dxa"/>
            <w:noWrap/>
            <w:vAlign w:val="center"/>
            <w:hideMark/>
          </w:tcPr>
          <w:p w14:paraId="2270103B" w14:textId="77777777" w:rsidR="008958A5" w:rsidRPr="004703EA" w:rsidRDefault="008958A5" w:rsidP="003A5EB1">
            <w:pPr>
              <w:jc w:val="center"/>
              <w:rPr>
                <w:b/>
                <w:bCs/>
              </w:rPr>
            </w:pPr>
            <w:r w:rsidRPr="004703EA">
              <w:rPr>
                <w:b/>
                <w:bCs/>
              </w:rPr>
              <w:t>2030</w:t>
            </w:r>
          </w:p>
        </w:tc>
        <w:tc>
          <w:tcPr>
            <w:tcW w:w="1143" w:type="dxa"/>
            <w:noWrap/>
            <w:vAlign w:val="center"/>
            <w:hideMark/>
          </w:tcPr>
          <w:p w14:paraId="402B7F40" w14:textId="77777777" w:rsidR="008958A5" w:rsidRPr="004703EA" w:rsidRDefault="008958A5" w:rsidP="003A5EB1">
            <w:pPr>
              <w:jc w:val="center"/>
              <w:rPr>
                <w:b/>
                <w:bCs/>
              </w:rPr>
            </w:pPr>
            <w:r w:rsidRPr="004703EA">
              <w:rPr>
                <w:b/>
                <w:bCs/>
              </w:rPr>
              <w:t>2035</w:t>
            </w:r>
          </w:p>
        </w:tc>
        <w:tc>
          <w:tcPr>
            <w:tcW w:w="1107" w:type="dxa"/>
            <w:noWrap/>
            <w:vAlign w:val="center"/>
            <w:hideMark/>
          </w:tcPr>
          <w:p w14:paraId="5FBD8F97" w14:textId="77777777" w:rsidR="008958A5" w:rsidRPr="004703EA" w:rsidRDefault="008958A5" w:rsidP="003A5EB1">
            <w:pPr>
              <w:jc w:val="center"/>
              <w:rPr>
                <w:b/>
                <w:bCs/>
              </w:rPr>
            </w:pPr>
            <w:r w:rsidRPr="004703EA">
              <w:rPr>
                <w:b/>
                <w:bCs/>
              </w:rPr>
              <w:t>2040</w:t>
            </w:r>
          </w:p>
        </w:tc>
        <w:tc>
          <w:tcPr>
            <w:tcW w:w="911" w:type="dxa"/>
            <w:vAlign w:val="center"/>
            <w:hideMark/>
          </w:tcPr>
          <w:p w14:paraId="5803E4E8" w14:textId="57C0CF4B" w:rsidR="008958A5" w:rsidRPr="004703EA" w:rsidRDefault="008958A5" w:rsidP="003A5EB1">
            <w:pPr>
              <w:jc w:val="center"/>
              <w:rPr>
                <w:b/>
                <w:bCs/>
              </w:rPr>
            </w:pPr>
            <w:r w:rsidRPr="004703EA">
              <w:rPr>
                <w:b/>
                <w:bCs/>
              </w:rPr>
              <w:t>2020</w:t>
            </w:r>
            <w:r w:rsidR="003A5EB1" w:rsidRPr="004703EA">
              <w:rPr>
                <w:b/>
                <w:bCs/>
              </w:rPr>
              <w:t xml:space="preserve"> </w:t>
            </w:r>
            <w:r w:rsidRPr="004703EA">
              <w:rPr>
                <w:b/>
                <w:bCs/>
              </w:rPr>
              <w:t>-</w:t>
            </w:r>
            <w:r w:rsidR="003A5EB1" w:rsidRPr="004703EA">
              <w:rPr>
                <w:b/>
                <w:bCs/>
              </w:rPr>
              <w:t xml:space="preserve"> </w:t>
            </w:r>
            <w:r w:rsidRPr="004703EA">
              <w:rPr>
                <w:b/>
                <w:bCs/>
              </w:rPr>
              <w:t>2040</w:t>
            </w:r>
          </w:p>
        </w:tc>
      </w:tr>
      <w:tr w:rsidR="00120966" w:rsidRPr="0013551B" w14:paraId="5A9905E9" w14:textId="77777777" w:rsidTr="0013551B">
        <w:trPr>
          <w:trHeight w:val="300"/>
        </w:trPr>
        <w:tc>
          <w:tcPr>
            <w:tcW w:w="992" w:type="dxa"/>
            <w:shd w:val="clear" w:color="auto" w:fill="E2EFD9" w:themeFill="accent6" w:themeFillTint="33"/>
            <w:noWrap/>
            <w:vAlign w:val="center"/>
            <w:hideMark/>
          </w:tcPr>
          <w:p w14:paraId="3D6C60D6" w14:textId="61B66B05" w:rsidR="008958A5" w:rsidRPr="0013551B" w:rsidRDefault="00494F27">
            <w:pPr>
              <w:rPr>
                <w:b/>
                <w:bCs/>
              </w:rPr>
            </w:pPr>
            <w:r w:rsidRPr="0013551B">
              <w:rPr>
                <w:b/>
                <w:bCs/>
              </w:rPr>
              <w:t>CV</w:t>
            </w:r>
          </w:p>
        </w:tc>
        <w:tc>
          <w:tcPr>
            <w:tcW w:w="1170" w:type="dxa"/>
            <w:shd w:val="clear" w:color="auto" w:fill="E2EFD9" w:themeFill="accent6" w:themeFillTint="33"/>
            <w:noWrap/>
            <w:vAlign w:val="center"/>
            <w:hideMark/>
          </w:tcPr>
          <w:p w14:paraId="7EC18DAA" w14:textId="38A15F05" w:rsidR="008958A5" w:rsidRPr="0013551B" w:rsidRDefault="008958A5" w:rsidP="003A5EB1">
            <w:pPr>
              <w:jc w:val="center"/>
              <w:rPr>
                <w:b/>
                <w:bCs/>
              </w:rPr>
            </w:pPr>
            <w:r w:rsidRPr="0013551B">
              <w:rPr>
                <w:b/>
                <w:bCs/>
              </w:rPr>
              <w:t>7</w:t>
            </w:r>
            <w:r w:rsidR="00794483" w:rsidRPr="0013551B">
              <w:rPr>
                <w:b/>
                <w:bCs/>
              </w:rPr>
              <w:t>81</w:t>
            </w:r>
          </w:p>
        </w:tc>
        <w:tc>
          <w:tcPr>
            <w:tcW w:w="1107" w:type="dxa"/>
            <w:shd w:val="clear" w:color="auto" w:fill="E2EFD9" w:themeFill="accent6" w:themeFillTint="33"/>
            <w:noWrap/>
            <w:vAlign w:val="center"/>
            <w:hideMark/>
          </w:tcPr>
          <w:p w14:paraId="6264B06A" w14:textId="77777777" w:rsidR="008958A5" w:rsidRPr="0013551B" w:rsidRDefault="008958A5" w:rsidP="003A5EB1">
            <w:pPr>
              <w:jc w:val="center"/>
              <w:rPr>
                <w:b/>
                <w:bCs/>
              </w:rPr>
            </w:pPr>
            <w:r w:rsidRPr="0013551B">
              <w:rPr>
                <w:b/>
                <w:bCs/>
              </w:rPr>
              <w:t>718</w:t>
            </w:r>
          </w:p>
        </w:tc>
        <w:tc>
          <w:tcPr>
            <w:tcW w:w="1143" w:type="dxa"/>
            <w:shd w:val="clear" w:color="auto" w:fill="E2EFD9" w:themeFill="accent6" w:themeFillTint="33"/>
            <w:noWrap/>
            <w:vAlign w:val="center"/>
            <w:hideMark/>
          </w:tcPr>
          <w:p w14:paraId="4BD0B470" w14:textId="77777777" w:rsidR="008958A5" w:rsidRPr="0013551B" w:rsidRDefault="008958A5" w:rsidP="003A5EB1">
            <w:pPr>
              <w:jc w:val="center"/>
              <w:rPr>
                <w:b/>
                <w:bCs/>
              </w:rPr>
            </w:pPr>
            <w:r w:rsidRPr="0013551B">
              <w:rPr>
                <w:b/>
                <w:bCs/>
              </w:rPr>
              <w:t>673</w:t>
            </w:r>
          </w:p>
        </w:tc>
        <w:tc>
          <w:tcPr>
            <w:tcW w:w="1170" w:type="dxa"/>
            <w:shd w:val="clear" w:color="auto" w:fill="E2EFD9" w:themeFill="accent6" w:themeFillTint="33"/>
            <w:noWrap/>
            <w:vAlign w:val="center"/>
            <w:hideMark/>
          </w:tcPr>
          <w:p w14:paraId="20A7160A" w14:textId="77777777" w:rsidR="008958A5" w:rsidRPr="0013551B" w:rsidRDefault="008958A5" w:rsidP="003A5EB1">
            <w:pPr>
              <w:jc w:val="center"/>
              <w:rPr>
                <w:b/>
                <w:bCs/>
              </w:rPr>
            </w:pPr>
            <w:r w:rsidRPr="0013551B">
              <w:rPr>
                <w:b/>
                <w:bCs/>
              </w:rPr>
              <w:t>629</w:t>
            </w:r>
          </w:p>
        </w:tc>
        <w:tc>
          <w:tcPr>
            <w:tcW w:w="1107" w:type="dxa"/>
            <w:shd w:val="clear" w:color="auto" w:fill="E2EFD9" w:themeFill="accent6" w:themeFillTint="33"/>
            <w:noWrap/>
            <w:vAlign w:val="center"/>
            <w:hideMark/>
          </w:tcPr>
          <w:p w14:paraId="45053FF2" w14:textId="77777777" w:rsidR="008958A5" w:rsidRPr="0013551B" w:rsidRDefault="008958A5" w:rsidP="003A5EB1">
            <w:pPr>
              <w:jc w:val="center"/>
              <w:rPr>
                <w:b/>
                <w:bCs/>
              </w:rPr>
            </w:pPr>
            <w:r w:rsidRPr="0013551B">
              <w:rPr>
                <w:b/>
                <w:bCs/>
              </w:rPr>
              <w:t>598</w:t>
            </w:r>
          </w:p>
        </w:tc>
        <w:tc>
          <w:tcPr>
            <w:tcW w:w="1143" w:type="dxa"/>
            <w:shd w:val="clear" w:color="auto" w:fill="E2EFD9" w:themeFill="accent6" w:themeFillTint="33"/>
            <w:noWrap/>
            <w:vAlign w:val="center"/>
            <w:hideMark/>
          </w:tcPr>
          <w:p w14:paraId="7572F73C" w14:textId="77777777" w:rsidR="008958A5" w:rsidRPr="0013551B" w:rsidRDefault="008958A5" w:rsidP="003A5EB1">
            <w:pPr>
              <w:jc w:val="center"/>
              <w:rPr>
                <w:b/>
                <w:bCs/>
              </w:rPr>
            </w:pPr>
            <w:r w:rsidRPr="0013551B">
              <w:rPr>
                <w:b/>
                <w:bCs/>
              </w:rPr>
              <w:t>558</w:t>
            </w:r>
          </w:p>
        </w:tc>
        <w:tc>
          <w:tcPr>
            <w:tcW w:w="1107" w:type="dxa"/>
            <w:shd w:val="clear" w:color="auto" w:fill="E2EFD9" w:themeFill="accent6" w:themeFillTint="33"/>
            <w:noWrap/>
            <w:vAlign w:val="center"/>
            <w:hideMark/>
          </w:tcPr>
          <w:p w14:paraId="5683AE35" w14:textId="77777777" w:rsidR="008958A5" w:rsidRPr="0013551B" w:rsidRDefault="008958A5" w:rsidP="003A5EB1">
            <w:pPr>
              <w:jc w:val="center"/>
              <w:rPr>
                <w:b/>
                <w:bCs/>
              </w:rPr>
            </w:pPr>
            <w:r w:rsidRPr="0013551B">
              <w:rPr>
                <w:b/>
                <w:bCs/>
              </w:rPr>
              <w:t>514</w:t>
            </w:r>
          </w:p>
        </w:tc>
        <w:tc>
          <w:tcPr>
            <w:tcW w:w="911" w:type="dxa"/>
            <w:shd w:val="clear" w:color="auto" w:fill="E2EFD9" w:themeFill="accent6" w:themeFillTint="33"/>
            <w:noWrap/>
            <w:vAlign w:val="center"/>
            <w:hideMark/>
          </w:tcPr>
          <w:p w14:paraId="07D03BF6" w14:textId="77777777" w:rsidR="008958A5" w:rsidRPr="0013551B" w:rsidRDefault="008958A5" w:rsidP="003A5EB1">
            <w:pPr>
              <w:jc w:val="center"/>
              <w:rPr>
                <w:b/>
                <w:bCs/>
              </w:rPr>
            </w:pPr>
            <w:r w:rsidRPr="0013551B">
              <w:rPr>
                <w:b/>
                <w:bCs/>
              </w:rPr>
              <w:t>-23.6%</w:t>
            </w:r>
          </w:p>
        </w:tc>
      </w:tr>
      <w:tr w:rsidR="00120966" w:rsidRPr="00494F27" w14:paraId="02993777" w14:textId="77777777" w:rsidTr="00D9587E">
        <w:trPr>
          <w:trHeight w:val="300"/>
        </w:trPr>
        <w:tc>
          <w:tcPr>
            <w:tcW w:w="992" w:type="dxa"/>
            <w:noWrap/>
            <w:vAlign w:val="center"/>
          </w:tcPr>
          <w:p w14:paraId="5E2770CA" w14:textId="30070F56" w:rsidR="00D9587E" w:rsidRDefault="00D9587E" w:rsidP="00D9587E">
            <w:r>
              <w:t>Kingfield</w:t>
            </w:r>
          </w:p>
        </w:tc>
        <w:tc>
          <w:tcPr>
            <w:tcW w:w="1170" w:type="dxa"/>
            <w:noWrap/>
            <w:vAlign w:val="center"/>
          </w:tcPr>
          <w:p w14:paraId="2A1EDFB5" w14:textId="3A51C3EB" w:rsidR="00D9587E" w:rsidRPr="00494F27" w:rsidRDefault="00D9587E" w:rsidP="00D9587E">
            <w:pPr>
              <w:jc w:val="center"/>
            </w:pPr>
            <w:r>
              <w:t>997</w:t>
            </w:r>
          </w:p>
        </w:tc>
        <w:tc>
          <w:tcPr>
            <w:tcW w:w="1107" w:type="dxa"/>
            <w:noWrap/>
            <w:vAlign w:val="center"/>
          </w:tcPr>
          <w:p w14:paraId="7D78F2EC" w14:textId="7D572ABA" w:rsidR="00D9587E" w:rsidRPr="00494F27" w:rsidRDefault="00D9587E" w:rsidP="00D9587E">
            <w:pPr>
              <w:jc w:val="center"/>
            </w:pPr>
            <w:r>
              <w:t>971</w:t>
            </w:r>
          </w:p>
        </w:tc>
        <w:tc>
          <w:tcPr>
            <w:tcW w:w="1143" w:type="dxa"/>
            <w:noWrap/>
          </w:tcPr>
          <w:p w14:paraId="240C5593" w14:textId="7970E949" w:rsidR="00D9587E" w:rsidRPr="00494F27" w:rsidRDefault="00D9587E" w:rsidP="00D9587E">
            <w:pPr>
              <w:jc w:val="center"/>
            </w:pPr>
            <w:r w:rsidRPr="005A0C4F">
              <w:t>960</w:t>
            </w:r>
          </w:p>
        </w:tc>
        <w:tc>
          <w:tcPr>
            <w:tcW w:w="1170" w:type="dxa"/>
            <w:noWrap/>
          </w:tcPr>
          <w:p w14:paraId="083BBC67" w14:textId="7BB29F62" w:rsidR="00D9587E" w:rsidRPr="00494F27" w:rsidRDefault="00D9587E" w:rsidP="00D9587E">
            <w:pPr>
              <w:jc w:val="center"/>
            </w:pPr>
            <w:r w:rsidRPr="005A0C4F">
              <w:t>963</w:t>
            </w:r>
          </w:p>
        </w:tc>
        <w:tc>
          <w:tcPr>
            <w:tcW w:w="1107" w:type="dxa"/>
            <w:noWrap/>
          </w:tcPr>
          <w:p w14:paraId="76B76048" w14:textId="0E997B33" w:rsidR="00D9587E" w:rsidRPr="00494F27" w:rsidRDefault="00D9587E" w:rsidP="00D9587E">
            <w:pPr>
              <w:jc w:val="center"/>
            </w:pPr>
            <w:r w:rsidRPr="005A0C4F">
              <w:t>977</w:t>
            </w:r>
          </w:p>
        </w:tc>
        <w:tc>
          <w:tcPr>
            <w:tcW w:w="1143" w:type="dxa"/>
            <w:noWrap/>
          </w:tcPr>
          <w:p w14:paraId="73F59214" w14:textId="31180C19" w:rsidR="00D9587E" w:rsidRPr="00494F27" w:rsidRDefault="00D9587E" w:rsidP="00D9587E">
            <w:pPr>
              <w:jc w:val="center"/>
            </w:pPr>
            <w:r w:rsidRPr="005A0C4F">
              <w:t>977</w:t>
            </w:r>
          </w:p>
        </w:tc>
        <w:tc>
          <w:tcPr>
            <w:tcW w:w="1107" w:type="dxa"/>
            <w:noWrap/>
          </w:tcPr>
          <w:p w14:paraId="2EF20712" w14:textId="0294FA3F" w:rsidR="00D9587E" w:rsidRPr="00494F27" w:rsidRDefault="00D9587E" w:rsidP="00D9587E">
            <w:pPr>
              <w:jc w:val="center"/>
            </w:pPr>
            <w:r w:rsidRPr="005A0C4F">
              <w:t>973</w:t>
            </w:r>
          </w:p>
        </w:tc>
        <w:tc>
          <w:tcPr>
            <w:tcW w:w="911" w:type="dxa"/>
            <w:noWrap/>
            <w:vAlign w:val="center"/>
          </w:tcPr>
          <w:p w14:paraId="1606167B" w14:textId="1845EC73" w:rsidR="00D9587E" w:rsidRPr="00494F27" w:rsidRDefault="00D9587E" w:rsidP="00D9587E">
            <w:pPr>
              <w:jc w:val="center"/>
            </w:pPr>
            <w:r>
              <w:t>1.3</w:t>
            </w:r>
            <w:r w:rsidR="00D0362B">
              <w:t>%</w:t>
            </w:r>
          </w:p>
        </w:tc>
      </w:tr>
      <w:tr w:rsidR="00120966" w:rsidRPr="00494F27" w14:paraId="297E7B6C" w14:textId="77777777" w:rsidTr="008F5C8D">
        <w:trPr>
          <w:trHeight w:val="300"/>
        </w:trPr>
        <w:tc>
          <w:tcPr>
            <w:tcW w:w="992" w:type="dxa"/>
            <w:noWrap/>
            <w:vAlign w:val="center"/>
          </w:tcPr>
          <w:p w14:paraId="00721482" w14:textId="71F22F37" w:rsidR="00D9587E" w:rsidRDefault="00D9587E" w:rsidP="00D9587E">
            <w:r>
              <w:t>Wyman</w:t>
            </w:r>
          </w:p>
        </w:tc>
        <w:tc>
          <w:tcPr>
            <w:tcW w:w="1170" w:type="dxa"/>
            <w:noWrap/>
          </w:tcPr>
          <w:p w14:paraId="33897BC5" w14:textId="563696A7" w:rsidR="00D9587E" w:rsidRPr="00494F27" w:rsidRDefault="00D9587E" w:rsidP="00D9587E">
            <w:pPr>
              <w:jc w:val="center"/>
            </w:pPr>
            <w:r w:rsidRPr="003657F2">
              <w:t>88</w:t>
            </w:r>
          </w:p>
        </w:tc>
        <w:tc>
          <w:tcPr>
            <w:tcW w:w="1107" w:type="dxa"/>
            <w:noWrap/>
          </w:tcPr>
          <w:p w14:paraId="3C5E056A" w14:textId="073E646E" w:rsidR="00D9587E" w:rsidRPr="00494F27" w:rsidRDefault="00D9587E" w:rsidP="00D9587E">
            <w:pPr>
              <w:jc w:val="center"/>
            </w:pPr>
            <w:r w:rsidRPr="003657F2">
              <w:t>84</w:t>
            </w:r>
          </w:p>
        </w:tc>
        <w:tc>
          <w:tcPr>
            <w:tcW w:w="1143" w:type="dxa"/>
            <w:noWrap/>
          </w:tcPr>
          <w:p w14:paraId="7E029878" w14:textId="7F9F88AE" w:rsidR="00D9587E" w:rsidRPr="00494F27" w:rsidRDefault="00D9587E" w:rsidP="00D9587E">
            <w:pPr>
              <w:jc w:val="center"/>
            </w:pPr>
            <w:r w:rsidRPr="003657F2">
              <w:t>82</w:t>
            </w:r>
          </w:p>
        </w:tc>
        <w:tc>
          <w:tcPr>
            <w:tcW w:w="1170" w:type="dxa"/>
            <w:noWrap/>
          </w:tcPr>
          <w:p w14:paraId="44A03DC3" w14:textId="264B684F" w:rsidR="00D9587E" w:rsidRPr="00494F27" w:rsidRDefault="00D9587E" w:rsidP="00D9587E">
            <w:pPr>
              <w:jc w:val="center"/>
            </w:pPr>
            <w:r w:rsidRPr="003657F2">
              <w:t>79</w:t>
            </w:r>
          </w:p>
        </w:tc>
        <w:tc>
          <w:tcPr>
            <w:tcW w:w="1107" w:type="dxa"/>
            <w:noWrap/>
          </w:tcPr>
          <w:p w14:paraId="526E3994" w14:textId="35ED6429" w:rsidR="00D9587E" w:rsidRPr="00494F27" w:rsidRDefault="00D9587E" w:rsidP="00D9587E">
            <w:pPr>
              <w:jc w:val="center"/>
            </w:pPr>
            <w:r w:rsidRPr="003657F2">
              <w:t>78</w:t>
            </w:r>
          </w:p>
        </w:tc>
        <w:tc>
          <w:tcPr>
            <w:tcW w:w="1143" w:type="dxa"/>
            <w:noWrap/>
          </w:tcPr>
          <w:p w14:paraId="69A3D780" w14:textId="6F283AFB" w:rsidR="00D9587E" w:rsidRPr="00494F27" w:rsidRDefault="00D9587E" w:rsidP="00D9587E">
            <w:pPr>
              <w:jc w:val="center"/>
            </w:pPr>
            <w:r w:rsidRPr="003657F2">
              <w:t>76</w:t>
            </w:r>
          </w:p>
        </w:tc>
        <w:tc>
          <w:tcPr>
            <w:tcW w:w="1107" w:type="dxa"/>
            <w:noWrap/>
          </w:tcPr>
          <w:p w14:paraId="4D8F498D" w14:textId="756B90F6" w:rsidR="00D9587E" w:rsidRPr="00494F27" w:rsidRDefault="00D9587E" w:rsidP="00D9587E">
            <w:pPr>
              <w:jc w:val="center"/>
            </w:pPr>
            <w:r w:rsidRPr="003657F2">
              <w:t>73</w:t>
            </w:r>
          </w:p>
        </w:tc>
        <w:tc>
          <w:tcPr>
            <w:tcW w:w="911" w:type="dxa"/>
            <w:noWrap/>
            <w:vAlign w:val="center"/>
          </w:tcPr>
          <w:p w14:paraId="0D059053" w14:textId="4DA0620B" w:rsidR="00D9587E" w:rsidRPr="00494F27" w:rsidRDefault="00D9587E" w:rsidP="00D9587E">
            <w:pPr>
              <w:jc w:val="center"/>
            </w:pPr>
            <w:r w:rsidRPr="00D9587E">
              <w:t>-11.3%</w:t>
            </w:r>
          </w:p>
        </w:tc>
      </w:tr>
      <w:tr w:rsidR="00120966" w:rsidRPr="00494F27" w14:paraId="47F4175D" w14:textId="77777777" w:rsidTr="00770A75">
        <w:trPr>
          <w:trHeight w:val="300"/>
        </w:trPr>
        <w:tc>
          <w:tcPr>
            <w:tcW w:w="992" w:type="dxa"/>
            <w:noWrap/>
            <w:vAlign w:val="center"/>
          </w:tcPr>
          <w:p w14:paraId="650DA85D" w14:textId="49A2C09F" w:rsidR="00C82D34" w:rsidRDefault="00C82D34" w:rsidP="00C82D34">
            <w:r>
              <w:t>Coplin</w:t>
            </w:r>
          </w:p>
        </w:tc>
        <w:tc>
          <w:tcPr>
            <w:tcW w:w="1170" w:type="dxa"/>
            <w:noWrap/>
          </w:tcPr>
          <w:p w14:paraId="5800DB83" w14:textId="5DFC9591" w:rsidR="00C82D34" w:rsidRPr="00494F27" w:rsidRDefault="00C82D34" w:rsidP="00C82D34">
            <w:pPr>
              <w:jc w:val="center"/>
            </w:pPr>
            <w:r w:rsidRPr="00E36A67">
              <w:t>165</w:t>
            </w:r>
          </w:p>
        </w:tc>
        <w:tc>
          <w:tcPr>
            <w:tcW w:w="1107" w:type="dxa"/>
            <w:noWrap/>
          </w:tcPr>
          <w:p w14:paraId="33F227BA" w14:textId="3E02BAD6" w:rsidR="00C82D34" w:rsidRPr="00494F27" w:rsidRDefault="00C82D34" w:rsidP="00C82D34">
            <w:pPr>
              <w:jc w:val="center"/>
            </w:pPr>
            <w:r w:rsidRPr="00E36A67">
              <w:t>147</w:t>
            </w:r>
          </w:p>
        </w:tc>
        <w:tc>
          <w:tcPr>
            <w:tcW w:w="1143" w:type="dxa"/>
            <w:noWrap/>
          </w:tcPr>
          <w:p w14:paraId="6BEADD10" w14:textId="09C67172" w:rsidR="00C82D34" w:rsidRPr="00494F27" w:rsidRDefault="00C82D34" w:rsidP="00C82D34">
            <w:pPr>
              <w:jc w:val="center"/>
            </w:pPr>
            <w:r w:rsidRPr="00E36A67">
              <w:t>131</w:t>
            </w:r>
          </w:p>
        </w:tc>
        <w:tc>
          <w:tcPr>
            <w:tcW w:w="1170" w:type="dxa"/>
            <w:noWrap/>
          </w:tcPr>
          <w:p w14:paraId="2C2FAE7E" w14:textId="1CFAE3C1" w:rsidR="00C82D34" w:rsidRPr="00494F27" w:rsidRDefault="00C82D34" w:rsidP="00C82D34">
            <w:pPr>
              <w:jc w:val="center"/>
            </w:pPr>
            <w:r w:rsidRPr="00E36A67">
              <w:t>130</w:t>
            </w:r>
          </w:p>
        </w:tc>
        <w:tc>
          <w:tcPr>
            <w:tcW w:w="1107" w:type="dxa"/>
            <w:noWrap/>
          </w:tcPr>
          <w:p w14:paraId="3C45DF08" w14:textId="60002593" w:rsidR="00C82D34" w:rsidRPr="00494F27" w:rsidRDefault="00C82D34" w:rsidP="00C82D34">
            <w:pPr>
              <w:jc w:val="center"/>
            </w:pPr>
            <w:r w:rsidRPr="00E36A67">
              <w:t>132</w:t>
            </w:r>
          </w:p>
        </w:tc>
        <w:tc>
          <w:tcPr>
            <w:tcW w:w="1143" w:type="dxa"/>
            <w:noWrap/>
          </w:tcPr>
          <w:p w14:paraId="5F8A05C7" w14:textId="00AE56AB" w:rsidR="00C82D34" w:rsidRPr="00494F27" w:rsidRDefault="00C82D34" w:rsidP="00C82D34">
            <w:pPr>
              <w:jc w:val="center"/>
            </w:pPr>
            <w:r w:rsidRPr="00E36A67">
              <w:t>131</w:t>
            </w:r>
          </w:p>
        </w:tc>
        <w:tc>
          <w:tcPr>
            <w:tcW w:w="1107" w:type="dxa"/>
            <w:noWrap/>
          </w:tcPr>
          <w:p w14:paraId="4D0C9542" w14:textId="3B3F7E91" w:rsidR="00C82D34" w:rsidRPr="00494F27" w:rsidRDefault="00C82D34" w:rsidP="00C82D34">
            <w:pPr>
              <w:jc w:val="center"/>
            </w:pPr>
            <w:r w:rsidRPr="00E36A67">
              <w:t>129</w:t>
            </w:r>
          </w:p>
        </w:tc>
        <w:tc>
          <w:tcPr>
            <w:tcW w:w="911" w:type="dxa"/>
            <w:noWrap/>
            <w:vAlign w:val="center"/>
          </w:tcPr>
          <w:p w14:paraId="76C6E961" w14:textId="72934EE0" w:rsidR="00C82D34" w:rsidRPr="00494F27" w:rsidRDefault="00C82D34" w:rsidP="00C82D34">
            <w:pPr>
              <w:jc w:val="center"/>
            </w:pPr>
            <w:r>
              <w:t>-1.8</w:t>
            </w:r>
            <w:r w:rsidR="00D0362B">
              <w:t>%</w:t>
            </w:r>
          </w:p>
        </w:tc>
      </w:tr>
      <w:tr w:rsidR="00120966" w:rsidRPr="00494F27" w14:paraId="6300E070" w14:textId="77777777" w:rsidTr="00023972">
        <w:trPr>
          <w:trHeight w:val="300"/>
        </w:trPr>
        <w:tc>
          <w:tcPr>
            <w:tcW w:w="992" w:type="dxa"/>
            <w:noWrap/>
            <w:vAlign w:val="center"/>
          </w:tcPr>
          <w:p w14:paraId="3D29D853" w14:textId="58BB25F6" w:rsidR="00D0362B" w:rsidRDefault="00D0362B" w:rsidP="00D0362B">
            <w:r>
              <w:t>Eustis</w:t>
            </w:r>
          </w:p>
        </w:tc>
        <w:tc>
          <w:tcPr>
            <w:tcW w:w="1170" w:type="dxa"/>
            <w:noWrap/>
          </w:tcPr>
          <w:p w14:paraId="095CB8A1" w14:textId="0801B49D" w:rsidR="00D0362B" w:rsidRPr="00494F27" w:rsidRDefault="00D0362B" w:rsidP="00D0362B">
            <w:pPr>
              <w:jc w:val="center"/>
            </w:pPr>
            <w:r w:rsidRPr="003548E9">
              <w:t>619</w:t>
            </w:r>
          </w:p>
        </w:tc>
        <w:tc>
          <w:tcPr>
            <w:tcW w:w="1107" w:type="dxa"/>
            <w:noWrap/>
          </w:tcPr>
          <w:p w14:paraId="4523AF1C" w14:textId="447AA508" w:rsidR="00D0362B" w:rsidRPr="00494F27" w:rsidRDefault="00D0362B" w:rsidP="00D0362B">
            <w:pPr>
              <w:jc w:val="center"/>
            </w:pPr>
            <w:r w:rsidRPr="003548E9">
              <w:t>629</w:t>
            </w:r>
          </w:p>
        </w:tc>
        <w:tc>
          <w:tcPr>
            <w:tcW w:w="1143" w:type="dxa"/>
            <w:noWrap/>
          </w:tcPr>
          <w:p w14:paraId="0501AEF9" w14:textId="3019EE03" w:rsidR="00D0362B" w:rsidRPr="00494F27" w:rsidRDefault="00D0362B" w:rsidP="00D0362B">
            <w:pPr>
              <w:jc w:val="center"/>
            </w:pPr>
            <w:r w:rsidRPr="003548E9">
              <w:t>641</w:t>
            </w:r>
          </w:p>
        </w:tc>
        <w:tc>
          <w:tcPr>
            <w:tcW w:w="1170" w:type="dxa"/>
            <w:noWrap/>
          </w:tcPr>
          <w:p w14:paraId="2CA24C37" w14:textId="6DCCB537" w:rsidR="00D0362B" w:rsidRPr="00494F27" w:rsidRDefault="00D0362B" w:rsidP="00D0362B">
            <w:pPr>
              <w:jc w:val="center"/>
            </w:pPr>
            <w:r w:rsidRPr="003548E9">
              <w:t>661</w:t>
            </w:r>
          </w:p>
        </w:tc>
        <w:tc>
          <w:tcPr>
            <w:tcW w:w="1107" w:type="dxa"/>
            <w:noWrap/>
          </w:tcPr>
          <w:p w14:paraId="6952B7F0" w14:textId="6150EDCC" w:rsidR="00D0362B" w:rsidRPr="00494F27" w:rsidRDefault="00D0362B" w:rsidP="00D0362B">
            <w:pPr>
              <w:jc w:val="center"/>
            </w:pPr>
            <w:r w:rsidRPr="003548E9">
              <w:t>691</w:t>
            </w:r>
          </w:p>
        </w:tc>
        <w:tc>
          <w:tcPr>
            <w:tcW w:w="1143" w:type="dxa"/>
            <w:noWrap/>
          </w:tcPr>
          <w:p w14:paraId="256769DA" w14:textId="78BF9DD2" w:rsidR="00D0362B" w:rsidRPr="00494F27" w:rsidRDefault="00D0362B" w:rsidP="00D0362B">
            <w:pPr>
              <w:jc w:val="center"/>
            </w:pPr>
            <w:r w:rsidRPr="003548E9">
              <w:t>709</w:t>
            </w:r>
          </w:p>
        </w:tc>
        <w:tc>
          <w:tcPr>
            <w:tcW w:w="1107" w:type="dxa"/>
            <w:noWrap/>
          </w:tcPr>
          <w:p w14:paraId="0B5486BF" w14:textId="6A168503" w:rsidR="00D0362B" w:rsidRPr="00494F27" w:rsidRDefault="00D0362B" w:rsidP="00D0362B">
            <w:pPr>
              <w:jc w:val="center"/>
            </w:pPr>
            <w:r w:rsidRPr="003548E9">
              <w:t>725</w:t>
            </w:r>
          </w:p>
        </w:tc>
        <w:tc>
          <w:tcPr>
            <w:tcW w:w="911" w:type="dxa"/>
            <w:noWrap/>
            <w:vAlign w:val="center"/>
          </w:tcPr>
          <w:p w14:paraId="44C209DB" w14:textId="59036700" w:rsidR="00D0362B" w:rsidRPr="00494F27" w:rsidRDefault="00D0362B" w:rsidP="00D0362B">
            <w:pPr>
              <w:jc w:val="center"/>
            </w:pPr>
            <w:r>
              <w:t>13.0%</w:t>
            </w:r>
          </w:p>
        </w:tc>
      </w:tr>
      <w:tr w:rsidR="00120966" w:rsidRPr="00494F27" w14:paraId="7443B7AF" w14:textId="77777777" w:rsidTr="0013551B">
        <w:trPr>
          <w:trHeight w:val="300"/>
        </w:trPr>
        <w:tc>
          <w:tcPr>
            <w:tcW w:w="992" w:type="dxa"/>
            <w:shd w:val="clear" w:color="auto" w:fill="E2EFD9" w:themeFill="accent6" w:themeFillTint="33"/>
            <w:noWrap/>
            <w:vAlign w:val="center"/>
          </w:tcPr>
          <w:p w14:paraId="195F6AF7" w14:textId="6E4A5436" w:rsidR="001A6136" w:rsidRPr="00494F27" w:rsidRDefault="001A6136" w:rsidP="001A6136">
            <w:r w:rsidRPr="00494F27">
              <w:t>Franklin County</w:t>
            </w:r>
          </w:p>
        </w:tc>
        <w:tc>
          <w:tcPr>
            <w:tcW w:w="1170" w:type="dxa"/>
            <w:shd w:val="clear" w:color="auto" w:fill="E2EFD9" w:themeFill="accent6" w:themeFillTint="33"/>
            <w:noWrap/>
            <w:vAlign w:val="center"/>
          </w:tcPr>
          <w:p w14:paraId="7C975693" w14:textId="06AC40F8" w:rsidR="001A6136" w:rsidRPr="00494F27" w:rsidRDefault="00794483" w:rsidP="00494F27">
            <w:pPr>
              <w:jc w:val="center"/>
            </w:pPr>
            <w:r w:rsidRPr="00494F27">
              <w:t>30,768</w:t>
            </w:r>
          </w:p>
        </w:tc>
        <w:tc>
          <w:tcPr>
            <w:tcW w:w="1107" w:type="dxa"/>
            <w:shd w:val="clear" w:color="auto" w:fill="E2EFD9" w:themeFill="accent6" w:themeFillTint="33"/>
            <w:noWrap/>
            <w:vAlign w:val="center"/>
          </w:tcPr>
          <w:p w14:paraId="54E1453B" w14:textId="40D971C0" w:rsidR="001A6136" w:rsidRPr="00494F27" w:rsidRDefault="001A6136" w:rsidP="001A6136">
            <w:pPr>
              <w:jc w:val="center"/>
            </w:pPr>
            <w:r w:rsidRPr="00494F27">
              <w:t>29,727</w:t>
            </w:r>
          </w:p>
        </w:tc>
        <w:tc>
          <w:tcPr>
            <w:tcW w:w="1143" w:type="dxa"/>
            <w:shd w:val="clear" w:color="auto" w:fill="E2EFD9" w:themeFill="accent6" w:themeFillTint="33"/>
            <w:noWrap/>
            <w:vAlign w:val="center"/>
          </w:tcPr>
          <w:p w14:paraId="6129BDC6" w14:textId="6CFA2AB5" w:rsidR="001A6136" w:rsidRPr="00494F27" w:rsidRDefault="001A6136" w:rsidP="001A6136">
            <w:pPr>
              <w:jc w:val="center"/>
            </w:pPr>
            <w:r w:rsidRPr="00494F27">
              <w:t>29,418</w:t>
            </w:r>
          </w:p>
        </w:tc>
        <w:tc>
          <w:tcPr>
            <w:tcW w:w="1170" w:type="dxa"/>
            <w:shd w:val="clear" w:color="auto" w:fill="E2EFD9" w:themeFill="accent6" w:themeFillTint="33"/>
            <w:noWrap/>
            <w:vAlign w:val="center"/>
          </w:tcPr>
          <w:p w14:paraId="196250DD" w14:textId="4D429AFD" w:rsidR="001A6136" w:rsidRPr="00494F27" w:rsidRDefault="001A6136" w:rsidP="001A6136">
            <w:pPr>
              <w:jc w:val="center"/>
              <w:rPr>
                <w:b/>
                <w:bCs/>
              </w:rPr>
            </w:pPr>
            <w:r w:rsidRPr="00494F27">
              <w:t>29,330</w:t>
            </w:r>
          </w:p>
        </w:tc>
        <w:tc>
          <w:tcPr>
            <w:tcW w:w="1107" w:type="dxa"/>
            <w:shd w:val="clear" w:color="auto" w:fill="E2EFD9" w:themeFill="accent6" w:themeFillTint="33"/>
            <w:noWrap/>
            <w:vAlign w:val="center"/>
          </w:tcPr>
          <w:p w14:paraId="6BC4F265" w14:textId="0F40BBF9" w:rsidR="001A6136" w:rsidRPr="00494F27" w:rsidRDefault="001A6136" w:rsidP="001A6136">
            <w:pPr>
              <w:jc w:val="center"/>
              <w:rPr>
                <w:b/>
                <w:bCs/>
              </w:rPr>
            </w:pPr>
            <w:r w:rsidRPr="00494F27">
              <w:t>29,603</w:t>
            </w:r>
          </w:p>
        </w:tc>
        <w:tc>
          <w:tcPr>
            <w:tcW w:w="1143" w:type="dxa"/>
            <w:shd w:val="clear" w:color="auto" w:fill="E2EFD9" w:themeFill="accent6" w:themeFillTint="33"/>
            <w:noWrap/>
            <w:vAlign w:val="center"/>
          </w:tcPr>
          <w:p w14:paraId="7D93EACC" w14:textId="4177EDB0" w:rsidR="001A6136" w:rsidRPr="00494F27" w:rsidRDefault="001A6136" w:rsidP="001A6136">
            <w:pPr>
              <w:jc w:val="center"/>
              <w:rPr>
                <w:b/>
                <w:bCs/>
              </w:rPr>
            </w:pPr>
            <w:r w:rsidRPr="00494F27">
              <w:t>29,414</w:t>
            </w:r>
          </w:p>
        </w:tc>
        <w:tc>
          <w:tcPr>
            <w:tcW w:w="1107" w:type="dxa"/>
            <w:shd w:val="clear" w:color="auto" w:fill="E2EFD9" w:themeFill="accent6" w:themeFillTint="33"/>
            <w:noWrap/>
            <w:vAlign w:val="center"/>
          </w:tcPr>
          <w:p w14:paraId="2EA399B5" w14:textId="30E6558D" w:rsidR="001A6136" w:rsidRPr="00494F27" w:rsidRDefault="001A6136" w:rsidP="001A6136">
            <w:pPr>
              <w:jc w:val="center"/>
              <w:rPr>
                <w:b/>
                <w:bCs/>
              </w:rPr>
            </w:pPr>
            <w:r w:rsidRPr="00494F27">
              <w:t>29,109</w:t>
            </w:r>
          </w:p>
        </w:tc>
        <w:tc>
          <w:tcPr>
            <w:tcW w:w="911" w:type="dxa"/>
            <w:shd w:val="clear" w:color="auto" w:fill="E2EFD9" w:themeFill="accent6" w:themeFillTint="33"/>
            <w:noWrap/>
            <w:vAlign w:val="center"/>
          </w:tcPr>
          <w:p w14:paraId="554C897F" w14:textId="2AFB269B" w:rsidR="001A6136" w:rsidRPr="00494F27" w:rsidRDefault="001A6136" w:rsidP="001A6136">
            <w:pPr>
              <w:jc w:val="center"/>
            </w:pPr>
            <w:r w:rsidRPr="00494F27">
              <w:t>-1.1%</w:t>
            </w:r>
          </w:p>
        </w:tc>
      </w:tr>
      <w:tr w:rsidR="00120966" w:rsidRPr="00494F27" w14:paraId="1C8016FB" w14:textId="77777777" w:rsidTr="0013551B">
        <w:trPr>
          <w:trHeight w:val="300"/>
        </w:trPr>
        <w:tc>
          <w:tcPr>
            <w:tcW w:w="992" w:type="dxa"/>
            <w:shd w:val="clear" w:color="auto" w:fill="E2EFD9" w:themeFill="accent6" w:themeFillTint="33"/>
            <w:noWrap/>
            <w:vAlign w:val="center"/>
          </w:tcPr>
          <w:p w14:paraId="0B1F8FC4" w14:textId="188908C2" w:rsidR="004703EA" w:rsidRPr="00494F27" w:rsidRDefault="004703EA" w:rsidP="004703EA">
            <w:r w:rsidRPr="00494F27">
              <w:t>Maine</w:t>
            </w:r>
          </w:p>
        </w:tc>
        <w:tc>
          <w:tcPr>
            <w:tcW w:w="1170" w:type="dxa"/>
            <w:shd w:val="clear" w:color="auto" w:fill="E2EFD9" w:themeFill="accent6" w:themeFillTint="33"/>
            <w:noWrap/>
            <w:vAlign w:val="center"/>
          </w:tcPr>
          <w:p w14:paraId="54DB0AEC" w14:textId="1082E708" w:rsidR="004703EA" w:rsidRPr="00494F27" w:rsidRDefault="004703EA" w:rsidP="004703EA">
            <w:pPr>
              <w:jc w:val="center"/>
            </w:pPr>
            <w:r w:rsidRPr="00494F27">
              <w:t>1,328,362</w:t>
            </w:r>
          </w:p>
        </w:tc>
        <w:tc>
          <w:tcPr>
            <w:tcW w:w="1107" w:type="dxa"/>
            <w:shd w:val="clear" w:color="auto" w:fill="E2EFD9" w:themeFill="accent6" w:themeFillTint="33"/>
            <w:noWrap/>
            <w:vAlign w:val="center"/>
          </w:tcPr>
          <w:p w14:paraId="723EECD4" w14:textId="6AF030D1" w:rsidR="004703EA" w:rsidRPr="00494F27" w:rsidRDefault="004703EA" w:rsidP="004703EA">
            <w:pPr>
              <w:jc w:val="center"/>
            </w:pPr>
            <w:r w:rsidRPr="00494F27">
              <w:t>1,335,777</w:t>
            </w:r>
          </w:p>
        </w:tc>
        <w:tc>
          <w:tcPr>
            <w:tcW w:w="1143" w:type="dxa"/>
            <w:shd w:val="clear" w:color="auto" w:fill="E2EFD9" w:themeFill="accent6" w:themeFillTint="33"/>
            <w:noWrap/>
            <w:vAlign w:val="center"/>
          </w:tcPr>
          <w:p w14:paraId="73106CD6" w14:textId="2B9626D3" w:rsidR="004703EA" w:rsidRPr="00494F27" w:rsidRDefault="004703EA" w:rsidP="004703EA">
            <w:pPr>
              <w:jc w:val="center"/>
            </w:pPr>
            <w:r w:rsidRPr="00494F27">
              <w:t>1,362,280</w:t>
            </w:r>
          </w:p>
        </w:tc>
        <w:tc>
          <w:tcPr>
            <w:tcW w:w="1170" w:type="dxa"/>
            <w:shd w:val="clear" w:color="auto" w:fill="E2EFD9" w:themeFill="accent6" w:themeFillTint="33"/>
            <w:noWrap/>
          </w:tcPr>
          <w:p w14:paraId="582C3644" w14:textId="28DA8592" w:rsidR="004703EA" w:rsidRPr="00494F27" w:rsidRDefault="004703EA" w:rsidP="004703EA">
            <w:pPr>
              <w:jc w:val="center"/>
              <w:rPr>
                <w:b/>
                <w:bCs/>
              </w:rPr>
            </w:pPr>
            <w:r w:rsidRPr="00494F27">
              <w:t>1,362,280</w:t>
            </w:r>
          </w:p>
        </w:tc>
        <w:tc>
          <w:tcPr>
            <w:tcW w:w="1107" w:type="dxa"/>
            <w:shd w:val="clear" w:color="auto" w:fill="E2EFD9" w:themeFill="accent6" w:themeFillTint="33"/>
            <w:noWrap/>
          </w:tcPr>
          <w:p w14:paraId="332AB787" w14:textId="6242F207" w:rsidR="004703EA" w:rsidRPr="00494F27" w:rsidRDefault="004703EA" w:rsidP="004703EA">
            <w:pPr>
              <w:jc w:val="center"/>
              <w:rPr>
                <w:b/>
                <w:bCs/>
              </w:rPr>
            </w:pPr>
            <w:r w:rsidRPr="00494F27">
              <w:t>1,374,728</w:t>
            </w:r>
          </w:p>
        </w:tc>
        <w:tc>
          <w:tcPr>
            <w:tcW w:w="1143" w:type="dxa"/>
            <w:shd w:val="clear" w:color="auto" w:fill="E2EFD9" w:themeFill="accent6" w:themeFillTint="33"/>
            <w:noWrap/>
          </w:tcPr>
          <w:p w14:paraId="08CF944E" w14:textId="3D4BD507" w:rsidR="004703EA" w:rsidRPr="00494F27" w:rsidRDefault="004703EA" w:rsidP="004703EA">
            <w:pPr>
              <w:jc w:val="center"/>
              <w:rPr>
                <w:b/>
                <w:bCs/>
              </w:rPr>
            </w:pPr>
            <w:r w:rsidRPr="00494F27">
              <w:t>1,397,663</w:t>
            </w:r>
          </w:p>
        </w:tc>
        <w:tc>
          <w:tcPr>
            <w:tcW w:w="1107" w:type="dxa"/>
            <w:shd w:val="clear" w:color="auto" w:fill="E2EFD9" w:themeFill="accent6" w:themeFillTint="33"/>
            <w:noWrap/>
          </w:tcPr>
          <w:p w14:paraId="1E793B25" w14:textId="21384942" w:rsidR="004703EA" w:rsidRPr="00494F27" w:rsidRDefault="004703EA" w:rsidP="004703EA">
            <w:pPr>
              <w:jc w:val="center"/>
              <w:rPr>
                <w:b/>
                <w:bCs/>
              </w:rPr>
            </w:pPr>
            <w:r w:rsidRPr="00494F27">
              <w:t>1,407,396</w:t>
            </w:r>
          </w:p>
        </w:tc>
        <w:tc>
          <w:tcPr>
            <w:tcW w:w="911" w:type="dxa"/>
            <w:shd w:val="clear" w:color="auto" w:fill="E2EFD9" w:themeFill="accent6" w:themeFillTint="33"/>
            <w:noWrap/>
            <w:vAlign w:val="center"/>
          </w:tcPr>
          <w:p w14:paraId="2BDEC6DF" w14:textId="2ED25D6F" w:rsidR="004703EA" w:rsidRPr="00494F27" w:rsidRDefault="004703EA" w:rsidP="004703EA">
            <w:pPr>
              <w:jc w:val="center"/>
              <w:rPr>
                <w:rFonts w:ascii="Calibri" w:hAnsi="Calibri" w:cs="Calibri"/>
                <w:color w:val="000000"/>
              </w:rPr>
            </w:pPr>
            <w:r w:rsidRPr="00494F27">
              <w:rPr>
                <w:rFonts w:ascii="Calibri" w:hAnsi="Calibri" w:cs="Calibri"/>
                <w:color w:val="000000"/>
              </w:rPr>
              <w:t>3.1%</w:t>
            </w:r>
          </w:p>
        </w:tc>
      </w:tr>
    </w:tbl>
    <w:p w14:paraId="1B99919F" w14:textId="77777777" w:rsidR="00D304C2" w:rsidRDefault="00D304C2">
      <w:pPr>
        <w:rPr>
          <w:b/>
          <w:bCs/>
        </w:rPr>
      </w:pPr>
    </w:p>
    <w:p w14:paraId="4C8B85B4" w14:textId="598A3092" w:rsidR="00C94167" w:rsidRDefault="00D304C2">
      <w:r>
        <w:t xml:space="preserve">The Maine State Economist produces population projections for towns, counties, and the state. </w:t>
      </w:r>
      <w:r w:rsidR="00C94167">
        <w:t>The population of Carrabassett Valley is observed as declining through the 2010 – 2020 decade, with a 2010 population of 775 and a 2020 population of approximate 100 fewer persons. According to these projections, which use the trend identified in the observed data, the population of Carrabassett Valley is declining, with an estimated 2024 population of 514 persons. As stated in the “Understanding the Data” section at the start of this chapter, it is important to recognize that with smaller populations it is difficult to create highly accurate population projections, and thus these numbers should be understood with those limitations in mind.</w:t>
      </w:r>
    </w:p>
    <w:p w14:paraId="3D613EE2" w14:textId="38DB3DC4" w:rsidR="00C94167" w:rsidRDefault="00A0249F">
      <w:r>
        <w:t xml:space="preserve">According to the State Economist projections, </w:t>
      </w:r>
      <w:r w:rsidR="00C94167">
        <w:t>Franklin County</w:t>
      </w:r>
      <w:r>
        <w:t>’s observed population decline</w:t>
      </w:r>
      <w:r w:rsidR="006A6009">
        <w:t>d slightly</w:t>
      </w:r>
      <w:r>
        <w:t xml:space="preserve"> between 2010 and 2020, and the projection </w:t>
      </w:r>
      <w:r w:rsidR="006A6009">
        <w:t>predicts</w:t>
      </w:r>
      <w:r>
        <w:t xml:space="preserve"> a slow continued decline of approximately -1.1% between 2025 and 2040. </w:t>
      </w:r>
      <w:r w:rsidR="006A6009">
        <w:t>Unlike Carrabassett Valley and Franklin County, t</w:t>
      </w:r>
      <w:r w:rsidR="00C94167">
        <w:t xml:space="preserve">he </w:t>
      </w:r>
      <w:r>
        <w:t>S</w:t>
      </w:r>
      <w:r w:rsidR="00C94167">
        <w:t>tate of Maine</w:t>
      </w:r>
      <w:r w:rsidR="006A6009">
        <w:t xml:space="preserve"> shows a gradual increase in population between 2010 and 2020 and is projected to continue that growth between 2025 and 2040 at 3.1%.</w:t>
      </w:r>
    </w:p>
    <w:p w14:paraId="752B8020" w14:textId="1ED21E50" w:rsidR="0013551B" w:rsidRDefault="0013551B">
      <w:r>
        <w:t xml:space="preserve">Compared to the neighboring four towns in the Carrabassett Valley region along the State Route 16 / Route 27 corridors (Kingfield, Wyman, Coplin, Eustis), Carrabassett Valley’s population is projected to decrease at a higher rate (-23%). </w:t>
      </w:r>
    </w:p>
    <w:p w14:paraId="1E319185" w14:textId="6EA85E73" w:rsidR="00C94167" w:rsidRDefault="00C94167">
      <w:r>
        <w:br w:type="page"/>
      </w:r>
    </w:p>
    <w:p w14:paraId="41944587" w14:textId="3FD01EA6" w:rsidR="008B4875" w:rsidRPr="00E8656A" w:rsidRDefault="008B4875">
      <w:pPr>
        <w:rPr>
          <w:b/>
          <w:bCs/>
          <w:color w:val="2E74B5" w:themeColor="accent5" w:themeShade="BF"/>
          <w:sz w:val="40"/>
          <w:szCs w:val="40"/>
        </w:rPr>
      </w:pPr>
      <w:r w:rsidRPr="00E8656A">
        <w:rPr>
          <w:b/>
          <w:bCs/>
          <w:color w:val="2E74B5" w:themeColor="accent5" w:themeShade="BF"/>
          <w:sz w:val="40"/>
          <w:szCs w:val="40"/>
        </w:rPr>
        <w:lastRenderedPageBreak/>
        <w:t xml:space="preserve">POPULATION CHARACTERISTICS </w:t>
      </w:r>
    </w:p>
    <w:p w14:paraId="46984A65" w14:textId="627F1D4F" w:rsidR="00EA0898" w:rsidRPr="00E8656A" w:rsidRDefault="00EA0898">
      <w:pPr>
        <w:rPr>
          <w:b/>
          <w:bCs/>
          <w:sz w:val="28"/>
          <w:szCs w:val="28"/>
        </w:rPr>
      </w:pPr>
      <w:r w:rsidRPr="00E8656A">
        <w:rPr>
          <w:b/>
          <w:bCs/>
          <w:sz w:val="28"/>
          <w:szCs w:val="28"/>
        </w:rPr>
        <w:t xml:space="preserve">AGE </w:t>
      </w:r>
    </w:p>
    <w:p w14:paraId="40A04D23" w14:textId="77777777" w:rsidR="004D6640" w:rsidRDefault="004D6640">
      <w:pPr>
        <w:rPr>
          <w:b/>
          <w:bCs/>
        </w:rPr>
      </w:pPr>
    </w:p>
    <w:p w14:paraId="5DA2AD81" w14:textId="120908A3" w:rsidR="00F1199F" w:rsidRDefault="00887D71">
      <w:pPr>
        <w:rPr>
          <w:b/>
          <w:bCs/>
        </w:rPr>
      </w:pPr>
      <w:r>
        <w:rPr>
          <w:noProof/>
        </w:rPr>
        <w:drawing>
          <wp:inline distT="0" distB="0" distL="0" distR="0" wp14:anchorId="7F9D144D" wp14:editId="234DE56C">
            <wp:extent cx="5943600" cy="3863340"/>
            <wp:effectExtent l="0" t="0" r="0" b="3810"/>
            <wp:docPr id="359506434" name="Chart 1">
              <a:extLst xmlns:a="http://schemas.openxmlformats.org/drawingml/2006/main">
                <a:ext uri="{FF2B5EF4-FFF2-40B4-BE49-F238E27FC236}">
                  <a16:creationId xmlns:a16="http://schemas.microsoft.com/office/drawing/2014/main" id="{053C6C2D-600B-19EC-9CDE-FDDA0E482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81A2F2" w14:textId="77777777" w:rsidR="00E47EB4" w:rsidRDefault="00E47EB4"/>
    <w:p w14:paraId="0112ED75" w14:textId="328A315A" w:rsidR="00887D71" w:rsidRPr="00887D71" w:rsidRDefault="00887D71">
      <w:r>
        <w:t>Compared to Franklin County and the State of Maine overall, Carrabassett Valley has a higher percentage of individuals in the 50-59 (16.9%), 60-69 (24.5%), and 70+ (18.3%) age cohort categories</w:t>
      </w:r>
      <w:r w:rsidR="00E47EB4">
        <w:t xml:space="preserve"> according to the 2020 Decennial Census</w:t>
      </w:r>
      <w:r>
        <w:t>.</w:t>
      </w:r>
      <w:r w:rsidR="00E47EB4">
        <w:t xml:space="preserve"> Franklin County and the State of Maine are younger than Carrabassett Valley, with higher percentages of individuals below age 40. Franklin County has a higher percentage of individuals in the ages 10-19 cohort than the state and Carrabassett Valley. </w:t>
      </w:r>
    </w:p>
    <w:p w14:paraId="72C815F3" w14:textId="44E71F74" w:rsidR="00E12A18" w:rsidRDefault="00E12A18">
      <w:pPr>
        <w:rPr>
          <w:b/>
          <w:bCs/>
        </w:rPr>
      </w:pPr>
      <w:r>
        <w:rPr>
          <w:b/>
          <w:bCs/>
        </w:rPr>
        <w:br w:type="page"/>
      </w:r>
    </w:p>
    <w:p w14:paraId="2C002A8D" w14:textId="77777777" w:rsidR="00EA0898" w:rsidRPr="00E8656A" w:rsidRDefault="00EA0898">
      <w:pPr>
        <w:rPr>
          <w:b/>
          <w:bCs/>
          <w:sz w:val="28"/>
          <w:szCs w:val="28"/>
        </w:rPr>
      </w:pPr>
      <w:r w:rsidRPr="00E8656A">
        <w:rPr>
          <w:b/>
          <w:bCs/>
          <w:sz w:val="28"/>
          <w:szCs w:val="28"/>
        </w:rPr>
        <w:lastRenderedPageBreak/>
        <w:t>RACE AND ETHNICITY</w:t>
      </w:r>
    </w:p>
    <w:p w14:paraId="2A3C785D" w14:textId="77777777" w:rsidR="004D6640" w:rsidRDefault="004D6640">
      <w:pPr>
        <w:rPr>
          <w:b/>
          <w:bCs/>
        </w:rPr>
      </w:pPr>
    </w:p>
    <w:p w14:paraId="78BAC1EC" w14:textId="4825DC9D" w:rsidR="00EA0898" w:rsidRDefault="00B87578">
      <w:pPr>
        <w:rPr>
          <w:b/>
          <w:bCs/>
        </w:rPr>
      </w:pPr>
      <w:r>
        <w:rPr>
          <w:noProof/>
        </w:rPr>
        <w:drawing>
          <wp:inline distT="0" distB="0" distL="0" distR="0" wp14:anchorId="6F8D3EEF" wp14:editId="2FA34A82">
            <wp:extent cx="5943600" cy="3961130"/>
            <wp:effectExtent l="0" t="0" r="0" b="1270"/>
            <wp:docPr id="1645106050" name="Chart 1">
              <a:extLst xmlns:a="http://schemas.openxmlformats.org/drawingml/2006/main">
                <a:ext uri="{FF2B5EF4-FFF2-40B4-BE49-F238E27FC236}">
                  <a16:creationId xmlns:a16="http://schemas.microsoft.com/office/drawing/2014/main" id="{24BA719B-086F-406B-9D30-A6ED94DF4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C54A3F" w14:textId="77777777" w:rsidR="001E7F57" w:rsidRDefault="001E7F57">
      <w:pPr>
        <w:rPr>
          <w:b/>
          <w:bCs/>
        </w:rPr>
      </w:pPr>
    </w:p>
    <w:p w14:paraId="4FEC262F" w14:textId="30CA711B" w:rsidR="00EA0898" w:rsidRPr="001E7F57" w:rsidRDefault="001E7F57">
      <w:r w:rsidRPr="001E7F57">
        <w:t>Carra</w:t>
      </w:r>
      <w:r>
        <w:t>bassett Valley is predominantly white (94.5%) according to the 2020 U.S. Decennial Census</w:t>
      </w:r>
      <w:r w:rsidR="003271B4">
        <w:t xml:space="preserve">. Other reported race categories include a small percentage of two or more races (3.9%), </w:t>
      </w:r>
      <w:r w:rsidR="00C1201B">
        <w:t>S</w:t>
      </w:r>
      <w:r w:rsidR="003271B4">
        <w:t xml:space="preserve">ome </w:t>
      </w:r>
      <w:r w:rsidR="00C1201B">
        <w:t>O</w:t>
      </w:r>
      <w:r w:rsidR="003271B4">
        <w:t xml:space="preserve">ther </w:t>
      </w:r>
      <w:r w:rsidR="00C1201B">
        <w:t>R</w:t>
      </w:r>
      <w:r w:rsidR="003271B4">
        <w:t xml:space="preserve">ace </w:t>
      </w:r>
      <w:r w:rsidR="00C1201B">
        <w:t>a</w:t>
      </w:r>
      <w:r w:rsidR="003271B4">
        <w:t>lone (0.9%), and Native Hawaiian and other Pacific Islander alone (0.7%).</w:t>
      </w:r>
      <w:r w:rsidR="00EA0898" w:rsidRPr="001E7F57">
        <w:br w:type="page"/>
      </w:r>
    </w:p>
    <w:p w14:paraId="6FCA6E19" w14:textId="77777777" w:rsidR="003271B4" w:rsidRDefault="006D31A3">
      <w:pPr>
        <w:rPr>
          <w:b/>
          <w:bCs/>
        </w:rPr>
      </w:pPr>
      <w:r>
        <w:rPr>
          <w:noProof/>
        </w:rPr>
        <w:lastRenderedPageBreak/>
        <w:drawing>
          <wp:inline distT="0" distB="0" distL="0" distR="0" wp14:anchorId="381CCE6B" wp14:editId="2236EE7F">
            <wp:extent cx="5943600" cy="5278931"/>
            <wp:effectExtent l="0" t="0" r="0" b="17145"/>
            <wp:docPr id="1369911012" name="Chart 1">
              <a:extLst xmlns:a="http://schemas.openxmlformats.org/drawingml/2006/main">
                <a:ext uri="{FF2B5EF4-FFF2-40B4-BE49-F238E27FC236}">
                  <a16:creationId xmlns:a16="http://schemas.microsoft.com/office/drawing/2014/main" id="{6E35BDA0-6780-2F9E-4F3E-03AA5F2A9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4EFE7B" w14:textId="77777777" w:rsidR="003271B4" w:rsidRDefault="003271B4">
      <w:pPr>
        <w:rPr>
          <w:b/>
          <w:bCs/>
        </w:rPr>
      </w:pPr>
    </w:p>
    <w:p w14:paraId="26E17FB0" w14:textId="63B8EDBF" w:rsidR="006D31A3" w:rsidRDefault="003271B4">
      <w:pPr>
        <w:rPr>
          <w:b/>
          <w:bCs/>
        </w:rPr>
      </w:pPr>
      <w:r>
        <w:t>Compared to Carrabassett Valley</w:t>
      </w:r>
      <w:r w:rsidR="00C1201B">
        <w:t>, Franklin County</w:t>
      </w:r>
      <w:r>
        <w:t xml:space="preserve"> is similarly predominantly white (92.9%), with </w:t>
      </w:r>
      <w:r w:rsidR="00C1201B">
        <w:t xml:space="preserve">Population of two of more Races as the </w:t>
      </w:r>
      <w:r>
        <w:t xml:space="preserve">next highest percentage reported </w:t>
      </w:r>
      <w:r w:rsidR="00C1201B">
        <w:t>(4.3%). Maine as a whole is slightly whiter than Carrabassett Valley and Franklin County (95.2%), but also has a slightly higher percentage of Black or African American alone, American Indian and Alaska Native alone, and Some Other Race alone.</w:t>
      </w:r>
      <w:r w:rsidR="006D31A3">
        <w:rPr>
          <w:b/>
          <w:bCs/>
        </w:rPr>
        <w:br w:type="page"/>
      </w:r>
    </w:p>
    <w:p w14:paraId="59837C01" w14:textId="071E0CE6" w:rsidR="007279EE" w:rsidRPr="00E8656A" w:rsidRDefault="007279EE">
      <w:pPr>
        <w:rPr>
          <w:b/>
          <w:bCs/>
          <w:sz w:val="28"/>
          <w:szCs w:val="28"/>
        </w:rPr>
      </w:pPr>
      <w:r w:rsidRPr="00E8656A">
        <w:rPr>
          <w:b/>
          <w:bCs/>
          <w:sz w:val="28"/>
          <w:szCs w:val="28"/>
        </w:rPr>
        <w:lastRenderedPageBreak/>
        <w:t>EDUCATIONAL ATTAINMENT</w:t>
      </w:r>
    </w:p>
    <w:p w14:paraId="46E7E9E3" w14:textId="77777777" w:rsidR="004D6640" w:rsidRDefault="004D6640">
      <w:pPr>
        <w:rPr>
          <w:b/>
          <w:bCs/>
        </w:rPr>
      </w:pPr>
    </w:p>
    <w:p w14:paraId="7C0FEBD2" w14:textId="77777777" w:rsidR="00DF7837" w:rsidRDefault="006C1821">
      <w:pPr>
        <w:rPr>
          <w:b/>
          <w:bCs/>
        </w:rPr>
      </w:pPr>
      <w:r>
        <w:rPr>
          <w:noProof/>
        </w:rPr>
        <w:drawing>
          <wp:inline distT="0" distB="0" distL="0" distR="0" wp14:anchorId="141999E1" wp14:editId="15CB915D">
            <wp:extent cx="5943600" cy="3838575"/>
            <wp:effectExtent l="0" t="0" r="0" b="9525"/>
            <wp:docPr id="1445202446" name="Chart 1">
              <a:extLst xmlns:a="http://schemas.openxmlformats.org/drawingml/2006/main">
                <a:ext uri="{FF2B5EF4-FFF2-40B4-BE49-F238E27FC236}">
                  <a16:creationId xmlns:a16="http://schemas.microsoft.com/office/drawing/2014/main" id="{9C5278B5-DAD5-156D-5BB1-5A663FFEBE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D97150" w14:textId="77777777" w:rsidR="00DF7837" w:rsidRDefault="00DF7837">
      <w:pPr>
        <w:rPr>
          <w:b/>
          <w:bCs/>
        </w:rPr>
      </w:pPr>
    </w:p>
    <w:p w14:paraId="09368254" w14:textId="721AC20D" w:rsidR="007279EE" w:rsidRPr="00DF7837" w:rsidRDefault="00685010">
      <w:r>
        <w:t xml:space="preserve">According to the American Community Survey 2022 5-year estimates, 70% of the </w:t>
      </w:r>
      <w:r w:rsidR="00DF7837" w:rsidRPr="00DF7837">
        <w:t>Carrab</w:t>
      </w:r>
      <w:r w:rsidR="00DF7837">
        <w:t xml:space="preserve">assett Valley </w:t>
      </w:r>
      <w:r>
        <w:t xml:space="preserve">population has a Bachelor’s degree or higher, with almost an even split between Bachelor’s degrees (35.3%) and Graduate or professional degrees (34.7%). Less than a quarter of the population has some college or associate’s degree (18.7%), and 8.5% have a high school diploma or equivalent. A very small percentage of the population has less than a high school degree.  </w:t>
      </w:r>
      <w:r w:rsidR="007279EE" w:rsidRPr="00DF7837">
        <w:br w:type="page"/>
      </w:r>
    </w:p>
    <w:p w14:paraId="2CCEC958" w14:textId="2A39DF41" w:rsidR="00EA0898" w:rsidRPr="00E8656A" w:rsidRDefault="007279EE">
      <w:pPr>
        <w:rPr>
          <w:b/>
          <w:bCs/>
          <w:sz w:val="28"/>
          <w:szCs w:val="28"/>
        </w:rPr>
      </w:pPr>
      <w:r w:rsidRPr="00E8656A">
        <w:rPr>
          <w:b/>
          <w:bCs/>
          <w:sz w:val="28"/>
          <w:szCs w:val="28"/>
        </w:rPr>
        <w:lastRenderedPageBreak/>
        <w:t>MARITAL STATUS</w:t>
      </w:r>
    </w:p>
    <w:p w14:paraId="516C2450" w14:textId="77777777" w:rsidR="004D6640" w:rsidRDefault="004D6640">
      <w:pPr>
        <w:rPr>
          <w:b/>
          <w:bCs/>
        </w:rPr>
      </w:pPr>
    </w:p>
    <w:p w14:paraId="7853C5FB" w14:textId="7FD9C7D5" w:rsidR="00305A90" w:rsidRDefault="006C1821">
      <w:pPr>
        <w:rPr>
          <w:b/>
          <w:bCs/>
        </w:rPr>
      </w:pPr>
      <w:r>
        <w:rPr>
          <w:noProof/>
        </w:rPr>
        <w:drawing>
          <wp:inline distT="0" distB="0" distL="0" distR="0" wp14:anchorId="60D43AB3" wp14:editId="447F4854">
            <wp:extent cx="5943600" cy="3752850"/>
            <wp:effectExtent l="0" t="0" r="0" b="0"/>
            <wp:docPr id="70638715" name="Chart 1">
              <a:extLst xmlns:a="http://schemas.openxmlformats.org/drawingml/2006/main">
                <a:ext uri="{FF2B5EF4-FFF2-40B4-BE49-F238E27FC236}">
                  <a16:creationId xmlns:a16="http://schemas.microsoft.com/office/drawing/2014/main" id="{5BAEC359-736B-E8E1-F716-5A42D5DD6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574BFA" w14:textId="77777777" w:rsidR="002E704A" w:rsidRDefault="002E704A">
      <w:pPr>
        <w:rPr>
          <w:b/>
          <w:bCs/>
        </w:rPr>
      </w:pPr>
    </w:p>
    <w:p w14:paraId="4E5C4E31" w14:textId="06E2B76F" w:rsidR="00305A90" w:rsidRPr="002E704A" w:rsidRDefault="00814F92">
      <w:r>
        <w:t xml:space="preserve">Just over half of the Carrabassett Valley population (56.1%) is married, according to the American Community Survey 2022 5-year estimates, while 22.4% has never married, and 20.1% are divorced or separated. A very small percentage (1.4%) of the population is widowed. </w:t>
      </w:r>
      <w:r w:rsidR="00305A90" w:rsidRPr="002E704A">
        <w:br w:type="page"/>
      </w:r>
    </w:p>
    <w:p w14:paraId="55E5A7B5" w14:textId="77777777" w:rsidR="001C44AC" w:rsidRPr="00E8656A" w:rsidRDefault="00D2329F">
      <w:pPr>
        <w:rPr>
          <w:b/>
          <w:bCs/>
          <w:sz w:val="28"/>
          <w:szCs w:val="28"/>
        </w:rPr>
      </w:pPr>
      <w:r w:rsidRPr="00E8656A">
        <w:rPr>
          <w:b/>
          <w:bCs/>
          <w:sz w:val="28"/>
          <w:szCs w:val="28"/>
        </w:rPr>
        <w:lastRenderedPageBreak/>
        <w:t>HOUSEHOLD COMPOSITION</w:t>
      </w:r>
    </w:p>
    <w:p w14:paraId="7C212E61" w14:textId="77777777" w:rsidR="004D6640" w:rsidRDefault="004D6640">
      <w:pPr>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15"/>
        <w:gridCol w:w="1620"/>
        <w:gridCol w:w="1615"/>
      </w:tblGrid>
      <w:tr w:rsidR="00B6258B" w:rsidRPr="001C44AC" w14:paraId="74C780DF" w14:textId="77777777" w:rsidTr="009E7B53">
        <w:trPr>
          <w:trHeight w:val="1061"/>
        </w:trPr>
        <w:tc>
          <w:tcPr>
            <w:tcW w:w="9350" w:type="dxa"/>
            <w:gridSpan w:val="3"/>
            <w:noWrap/>
            <w:vAlign w:val="center"/>
          </w:tcPr>
          <w:p w14:paraId="101445D4" w14:textId="1CCEF6E8" w:rsidR="00B6258B" w:rsidRPr="001C44AC" w:rsidRDefault="00B6258B" w:rsidP="001C44AC">
            <w:pPr>
              <w:rPr>
                <w:rFonts w:cstheme="minorHAnsi"/>
              </w:rPr>
            </w:pPr>
            <w:r w:rsidRPr="00B6258B">
              <w:rPr>
                <w:rFonts w:cstheme="minorHAnsi"/>
                <w:b/>
                <w:bCs/>
                <w:sz w:val="28"/>
                <w:szCs w:val="28"/>
              </w:rPr>
              <w:t xml:space="preserve">Town of Carrabassett Valley Households and Families </w:t>
            </w:r>
            <w:r w:rsidR="005B7303">
              <w:rPr>
                <w:rFonts w:cstheme="minorHAnsi"/>
                <w:b/>
                <w:bCs/>
                <w:sz w:val="28"/>
                <w:szCs w:val="28"/>
              </w:rPr>
              <w:t>(2022)</w:t>
            </w:r>
            <w:r w:rsidRPr="00B6258B">
              <w:rPr>
                <w:rFonts w:cstheme="minorHAnsi"/>
                <w:b/>
                <w:bCs/>
                <w:sz w:val="28"/>
                <w:szCs w:val="28"/>
              </w:rPr>
              <w:br/>
            </w:r>
            <w:r w:rsidRPr="00B6258B">
              <w:rPr>
                <w:rFonts w:cstheme="minorHAnsi"/>
                <w:i/>
                <w:iCs/>
              </w:rPr>
              <w:t>Source: U.S. Census Bureau. "Households and Families." American Community Survey, ACS 5-Year Estimates Subject Tables, Table S1101,</w:t>
            </w:r>
            <w:r w:rsidR="00856175">
              <w:rPr>
                <w:rFonts w:cstheme="minorHAnsi"/>
                <w:i/>
                <w:iCs/>
              </w:rPr>
              <w:t xml:space="preserve"> S2501,</w:t>
            </w:r>
            <w:r w:rsidRPr="00B6258B">
              <w:rPr>
                <w:rFonts w:cstheme="minorHAnsi"/>
                <w:i/>
                <w:iCs/>
              </w:rPr>
              <w:t xml:space="preserve"> 2022</w:t>
            </w:r>
          </w:p>
        </w:tc>
      </w:tr>
      <w:tr w:rsidR="00B6258B" w:rsidRPr="001C44AC" w14:paraId="7D9337B8" w14:textId="77777777" w:rsidTr="005B7303">
        <w:trPr>
          <w:trHeight w:val="300"/>
        </w:trPr>
        <w:tc>
          <w:tcPr>
            <w:tcW w:w="9350" w:type="dxa"/>
            <w:gridSpan w:val="3"/>
            <w:noWrap/>
            <w:vAlign w:val="center"/>
          </w:tcPr>
          <w:p w14:paraId="76E30066" w14:textId="77777777" w:rsidR="00B6258B" w:rsidRPr="001C44AC" w:rsidRDefault="00B6258B" w:rsidP="001C44AC">
            <w:pPr>
              <w:rPr>
                <w:rFonts w:cstheme="minorHAnsi"/>
              </w:rPr>
            </w:pPr>
          </w:p>
        </w:tc>
      </w:tr>
      <w:tr w:rsidR="00B6258B" w:rsidRPr="00B6258B" w14:paraId="262A20B1" w14:textId="77777777" w:rsidTr="005B7303">
        <w:trPr>
          <w:trHeight w:val="323"/>
        </w:trPr>
        <w:tc>
          <w:tcPr>
            <w:tcW w:w="6115" w:type="dxa"/>
            <w:noWrap/>
            <w:vAlign w:val="center"/>
          </w:tcPr>
          <w:p w14:paraId="43BBB0F4" w14:textId="12CF8526" w:rsidR="00B6258B" w:rsidRPr="00B6258B" w:rsidRDefault="00B6258B" w:rsidP="00ED0D4B">
            <w:pPr>
              <w:jc w:val="center"/>
              <w:rPr>
                <w:rFonts w:cstheme="minorHAnsi"/>
                <w:b/>
                <w:bCs/>
              </w:rPr>
            </w:pPr>
            <w:r w:rsidRPr="00B6258B">
              <w:rPr>
                <w:rFonts w:cstheme="minorHAnsi"/>
                <w:b/>
                <w:bCs/>
              </w:rPr>
              <w:t>Label</w:t>
            </w:r>
          </w:p>
        </w:tc>
        <w:tc>
          <w:tcPr>
            <w:tcW w:w="1620" w:type="dxa"/>
            <w:noWrap/>
            <w:vAlign w:val="center"/>
          </w:tcPr>
          <w:p w14:paraId="12804880" w14:textId="7D7720D2" w:rsidR="00B6258B" w:rsidRPr="00B6258B" w:rsidRDefault="00B6258B" w:rsidP="00B6258B">
            <w:pPr>
              <w:jc w:val="center"/>
              <w:rPr>
                <w:rFonts w:cstheme="minorHAnsi"/>
                <w:b/>
                <w:bCs/>
              </w:rPr>
            </w:pPr>
            <w:r w:rsidRPr="00B6258B">
              <w:rPr>
                <w:rFonts w:cstheme="minorHAnsi"/>
                <w:b/>
                <w:bCs/>
              </w:rPr>
              <w:t>Estimate</w:t>
            </w:r>
          </w:p>
        </w:tc>
        <w:tc>
          <w:tcPr>
            <w:tcW w:w="1615" w:type="dxa"/>
            <w:noWrap/>
            <w:vAlign w:val="center"/>
          </w:tcPr>
          <w:p w14:paraId="5E6A1164" w14:textId="1D47EA26" w:rsidR="00B6258B" w:rsidRPr="00B6258B" w:rsidRDefault="00B6258B" w:rsidP="00B6258B">
            <w:pPr>
              <w:jc w:val="center"/>
              <w:rPr>
                <w:rFonts w:cstheme="minorHAnsi"/>
                <w:b/>
                <w:bCs/>
              </w:rPr>
            </w:pPr>
            <w:r w:rsidRPr="00B6258B">
              <w:rPr>
                <w:rFonts w:cstheme="minorHAnsi"/>
                <w:b/>
                <w:bCs/>
              </w:rPr>
              <w:t>Margin of Error</w:t>
            </w:r>
          </w:p>
        </w:tc>
      </w:tr>
      <w:tr w:rsidR="005B7303" w:rsidRPr="001C44AC" w14:paraId="00744F28" w14:textId="77777777" w:rsidTr="005B7303">
        <w:trPr>
          <w:trHeight w:val="300"/>
        </w:trPr>
        <w:tc>
          <w:tcPr>
            <w:tcW w:w="6115" w:type="dxa"/>
            <w:noWrap/>
            <w:vAlign w:val="center"/>
            <w:hideMark/>
          </w:tcPr>
          <w:p w14:paraId="6D46EB71" w14:textId="77777777" w:rsidR="001C44AC" w:rsidRPr="00ED0D4B" w:rsidRDefault="001C44AC" w:rsidP="00B6258B">
            <w:pPr>
              <w:rPr>
                <w:rFonts w:cstheme="minorHAnsi"/>
                <w:b/>
                <w:bCs/>
              </w:rPr>
            </w:pPr>
            <w:r w:rsidRPr="00ED0D4B">
              <w:rPr>
                <w:rFonts w:cstheme="minorHAnsi"/>
                <w:b/>
                <w:bCs/>
              </w:rPr>
              <w:t>HOUSEHOLDS</w:t>
            </w:r>
          </w:p>
        </w:tc>
        <w:tc>
          <w:tcPr>
            <w:tcW w:w="1620" w:type="dxa"/>
            <w:noWrap/>
            <w:vAlign w:val="center"/>
            <w:hideMark/>
          </w:tcPr>
          <w:p w14:paraId="54C34B41" w14:textId="77777777" w:rsidR="001C44AC" w:rsidRPr="001C44AC" w:rsidRDefault="001C44AC" w:rsidP="00B6258B">
            <w:pPr>
              <w:jc w:val="center"/>
              <w:rPr>
                <w:rFonts w:cstheme="minorHAnsi"/>
              </w:rPr>
            </w:pPr>
          </w:p>
        </w:tc>
        <w:tc>
          <w:tcPr>
            <w:tcW w:w="1615" w:type="dxa"/>
            <w:noWrap/>
            <w:vAlign w:val="center"/>
            <w:hideMark/>
          </w:tcPr>
          <w:p w14:paraId="632AEA88" w14:textId="77777777" w:rsidR="001C44AC" w:rsidRPr="001C44AC" w:rsidRDefault="001C44AC" w:rsidP="00B6258B">
            <w:pPr>
              <w:jc w:val="center"/>
              <w:rPr>
                <w:rFonts w:cstheme="minorHAnsi"/>
              </w:rPr>
            </w:pPr>
          </w:p>
        </w:tc>
      </w:tr>
      <w:tr w:rsidR="005B7303" w:rsidRPr="001C44AC" w14:paraId="2520F582" w14:textId="77777777" w:rsidTr="005B7303">
        <w:trPr>
          <w:trHeight w:val="300"/>
        </w:trPr>
        <w:tc>
          <w:tcPr>
            <w:tcW w:w="6115" w:type="dxa"/>
            <w:noWrap/>
            <w:vAlign w:val="center"/>
            <w:hideMark/>
          </w:tcPr>
          <w:p w14:paraId="090D6CA7" w14:textId="50F1D11D" w:rsidR="001C44AC" w:rsidRPr="00ED0D4B" w:rsidRDefault="001C44AC" w:rsidP="00ED0D4B">
            <w:pPr>
              <w:ind w:left="720"/>
              <w:rPr>
                <w:rFonts w:cstheme="minorHAnsi"/>
                <w:i/>
                <w:iCs/>
              </w:rPr>
            </w:pPr>
            <w:r w:rsidRPr="00ED0D4B">
              <w:rPr>
                <w:rFonts w:cstheme="minorHAnsi"/>
                <w:i/>
                <w:iCs/>
              </w:rPr>
              <w:t>Total households</w:t>
            </w:r>
          </w:p>
        </w:tc>
        <w:tc>
          <w:tcPr>
            <w:tcW w:w="1620" w:type="dxa"/>
            <w:noWrap/>
            <w:vAlign w:val="center"/>
            <w:hideMark/>
          </w:tcPr>
          <w:p w14:paraId="630E0235" w14:textId="77777777" w:rsidR="001C44AC" w:rsidRPr="001C44AC" w:rsidRDefault="001C44AC" w:rsidP="00B6258B">
            <w:pPr>
              <w:jc w:val="center"/>
              <w:rPr>
                <w:rFonts w:cstheme="minorHAnsi"/>
              </w:rPr>
            </w:pPr>
            <w:r w:rsidRPr="001C44AC">
              <w:rPr>
                <w:rFonts w:cstheme="minorHAnsi"/>
              </w:rPr>
              <w:t>362</w:t>
            </w:r>
          </w:p>
        </w:tc>
        <w:tc>
          <w:tcPr>
            <w:tcW w:w="1615" w:type="dxa"/>
            <w:noWrap/>
            <w:vAlign w:val="center"/>
            <w:hideMark/>
          </w:tcPr>
          <w:p w14:paraId="2B7791CB" w14:textId="77777777" w:rsidR="001C44AC" w:rsidRPr="001C44AC" w:rsidRDefault="001C44AC" w:rsidP="00B6258B">
            <w:pPr>
              <w:jc w:val="center"/>
              <w:rPr>
                <w:rFonts w:cstheme="minorHAnsi"/>
              </w:rPr>
            </w:pPr>
            <w:r w:rsidRPr="001C44AC">
              <w:rPr>
                <w:rFonts w:cstheme="minorHAnsi"/>
              </w:rPr>
              <w:t>±112</w:t>
            </w:r>
          </w:p>
        </w:tc>
      </w:tr>
      <w:tr w:rsidR="00C56837" w:rsidRPr="001C44AC" w14:paraId="2A9ED404" w14:textId="77777777" w:rsidTr="005B7303">
        <w:trPr>
          <w:trHeight w:val="300"/>
        </w:trPr>
        <w:tc>
          <w:tcPr>
            <w:tcW w:w="6115" w:type="dxa"/>
            <w:noWrap/>
            <w:vAlign w:val="center"/>
          </w:tcPr>
          <w:p w14:paraId="5FD8436D" w14:textId="24CE0730" w:rsidR="00C56837" w:rsidRPr="00ED0D4B" w:rsidRDefault="00C56837" w:rsidP="00C56837">
            <w:pPr>
              <w:ind w:left="720"/>
              <w:rPr>
                <w:rFonts w:cstheme="minorHAnsi"/>
                <w:i/>
                <w:iCs/>
              </w:rPr>
            </w:pPr>
            <w:r>
              <w:rPr>
                <w:rFonts w:cstheme="minorHAnsi"/>
                <w:i/>
                <w:iCs/>
              </w:rPr>
              <w:t>Family households</w:t>
            </w:r>
          </w:p>
        </w:tc>
        <w:tc>
          <w:tcPr>
            <w:tcW w:w="1620" w:type="dxa"/>
            <w:noWrap/>
            <w:vAlign w:val="center"/>
          </w:tcPr>
          <w:p w14:paraId="069FA683" w14:textId="7AE9C5F2" w:rsidR="00C56837" w:rsidRPr="001C44AC" w:rsidRDefault="00C56837" w:rsidP="00C56837">
            <w:pPr>
              <w:jc w:val="center"/>
              <w:rPr>
                <w:rFonts w:cstheme="minorHAnsi"/>
              </w:rPr>
            </w:pPr>
            <w:r>
              <w:rPr>
                <w:rFonts w:ascii="Calibri" w:hAnsi="Calibri" w:cs="Calibri"/>
                <w:color w:val="000000"/>
              </w:rPr>
              <w:t>191</w:t>
            </w:r>
          </w:p>
        </w:tc>
        <w:tc>
          <w:tcPr>
            <w:tcW w:w="1615" w:type="dxa"/>
            <w:noWrap/>
            <w:vAlign w:val="center"/>
          </w:tcPr>
          <w:p w14:paraId="35C39102" w14:textId="755BD7BC" w:rsidR="00C56837" w:rsidRPr="001C44AC" w:rsidRDefault="00C56837" w:rsidP="00C56837">
            <w:pPr>
              <w:jc w:val="center"/>
              <w:rPr>
                <w:rFonts w:cstheme="minorHAnsi"/>
              </w:rPr>
            </w:pPr>
            <w:r>
              <w:rPr>
                <w:rFonts w:ascii="Calibri" w:hAnsi="Calibri" w:cs="Calibri"/>
                <w:color w:val="000000"/>
              </w:rPr>
              <w:t>±81</w:t>
            </w:r>
          </w:p>
        </w:tc>
      </w:tr>
      <w:tr w:rsidR="005B7303" w:rsidRPr="001C44AC" w14:paraId="6215848C" w14:textId="77777777" w:rsidTr="005B7303">
        <w:trPr>
          <w:trHeight w:val="300"/>
        </w:trPr>
        <w:tc>
          <w:tcPr>
            <w:tcW w:w="6115" w:type="dxa"/>
            <w:noWrap/>
            <w:vAlign w:val="center"/>
            <w:hideMark/>
          </w:tcPr>
          <w:p w14:paraId="7C77511E" w14:textId="34ED1ECF" w:rsidR="001C44AC" w:rsidRPr="00ED0D4B" w:rsidRDefault="001C44AC" w:rsidP="00ED0D4B">
            <w:pPr>
              <w:ind w:left="720"/>
              <w:rPr>
                <w:rFonts w:cstheme="minorHAnsi"/>
                <w:i/>
                <w:iCs/>
              </w:rPr>
            </w:pPr>
            <w:r w:rsidRPr="00ED0D4B">
              <w:rPr>
                <w:rFonts w:cstheme="minorHAnsi"/>
                <w:i/>
                <w:iCs/>
              </w:rPr>
              <w:t>Average household size</w:t>
            </w:r>
          </w:p>
        </w:tc>
        <w:tc>
          <w:tcPr>
            <w:tcW w:w="1620" w:type="dxa"/>
            <w:noWrap/>
            <w:vAlign w:val="center"/>
            <w:hideMark/>
          </w:tcPr>
          <w:p w14:paraId="086FE463" w14:textId="77777777" w:rsidR="001C44AC" w:rsidRPr="001C44AC" w:rsidRDefault="001C44AC" w:rsidP="00B6258B">
            <w:pPr>
              <w:jc w:val="center"/>
              <w:rPr>
                <w:rFonts w:cstheme="minorHAnsi"/>
              </w:rPr>
            </w:pPr>
            <w:r w:rsidRPr="001C44AC">
              <w:rPr>
                <w:rFonts w:cstheme="minorHAnsi"/>
              </w:rPr>
              <w:t>1.53</w:t>
            </w:r>
          </w:p>
        </w:tc>
        <w:tc>
          <w:tcPr>
            <w:tcW w:w="1615" w:type="dxa"/>
            <w:noWrap/>
            <w:vAlign w:val="center"/>
            <w:hideMark/>
          </w:tcPr>
          <w:p w14:paraId="47996070" w14:textId="77777777" w:rsidR="001C44AC" w:rsidRPr="001C44AC" w:rsidRDefault="001C44AC" w:rsidP="00B6258B">
            <w:pPr>
              <w:jc w:val="center"/>
              <w:rPr>
                <w:rFonts w:cstheme="minorHAnsi"/>
              </w:rPr>
            </w:pPr>
            <w:r w:rsidRPr="001C44AC">
              <w:rPr>
                <w:rFonts w:cstheme="minorHAnsi"/>
              </w:rPr>
              <w:t>±0.17</w:t>
            </w:r>
          </w:p>
        </w:tc>
      </w:tr>
      <w:tr w:rsidR="005F59EE" w:rsidRPr="001C44AC" w14:paraId="4B831377" w14:textId="77777777" w:rsidTr="005B7303">
        <w:trPr>
          <w:trHeight w:val="300"/>
        </w:trPr>
        <w:tc>
          <w:tcPr>
            <w:tcW w:w="6115" w:type="dxa"/>
            <w:noWrap/>
            <w:vAlign w:val="center"/>
          </w:tcPr>
          <w:p w14:paraId="23860CFA" w14:textId="2D362016" w:rsidR="005F59EE" w:rsidRPr="00DF0F6A" w:rsidRDefault="005F59EE" w:rsidP="005F59EE">
            <w:pPr>
              <w:rPr>
                <w:rFonts w:cstheme="minorHAnsi"/>
                <w:b/>
                <w:bCs/>
              </w:rPr>
            </w:pPr>
            <w:r w:rsidRPr="00DF0F6A">
              <w:rPr>
                <w:rFonts w:cstheme="minorHAnsi"/>
                <w:b/>
                <w:bCs/>
              </w:rPr>
              <w:t>HOUSEHOLD SIZE</w:t>
            </w:r>
          </w:p>
        </w:tc>
        <w:tc>
          <w:tcPr>
            <w:tcW w:w="1620" w:type="dxa"/>
            <w:noWrap/>
            <w:vAlign w:val="center"/>
          </w:tcPr>
          <w:p w14:paraId="68ACA3D1" w14:textId="77777777" w:rsidR="005F59EE" w:rsidRPr="001C44AC" w:rsidRDefault="005F59EE" w:rsidP="00B6258B">
            <w:pPr>
              <w:jc w:val="center"/>
              <w:rPr>
                <w:rFonts w:cstheme="minorHAnsi"/>
              </w:rPr>
            </w:pPr>
          </w:p>
        </w:tc>
        <w:tc>
          <w:tcPr>
            <w:tcW w:w="1615" w:type="dxa"/>
            <w:noWrap/>
            <w:vAlign w:val="center"/>
          </w:tcPr>
          <w:p w14:paraId="42157054" w14:textId="77777777" w:rsidR="005F59EE" w:rsidRPr="001C44AC" w:rsidRDefault="005F59EE" w:rsidP="00B6258B">
            <w:pPr>
              <w:jc w:val="center"/>
              <w:rPr>
                <w:rFonts w:cstheme="minorHAnsi"/>
              </w:rPr>
            </w:pPr>
          </w:p>
        </w:tc>
      </w:tr>
      <w:tr w:rsidR="00DF0F6A" w:rsidRPr="001C44AC" w14:paraId="4130D1B7" w14:textId="77777777" w:rsidTr="00715657">
        <w:trPr>
          <w:trHeight w:val="300"/>
        </w:trPr>
        <w:tc>
          <w:tcPr>
            <w:tcW w:w="6115" w:type="dxa"/>
            <w:noWrap/>
            <w:vAlign w:val="bottom"/>
          </w:tcPr>
          <w:p w14:paraId="6D76E56C" w14:textId="060786FE" w:rsidR="00DF0F6A" w:rsidRPr="00DF0F6A" w:rsidRDefault="00DF0F6A" w:rsidP="00DF0F6A">
            <w:pPr>
              <w:ind w:left="720"/>
              <w:rPr>
                <w:rFonts w:cstheme="minorHAnsi"/>
                <w:i/>
                <w:iCs/>
              </w:rPr>
            </w:pPr>
            <w:r w:rsidRPr="00DF0F6A">
              <w:rPr>
                <w:rFonts w:ascii="Calibri" w:hAnsi="Calibri" w:cs="Calibri"/>
                <w:i/>
                <w:iCs/>
                <w:color w:val="000000"/>
              </w:rPr>
              <w:t>1-person household</w:t>
            </w:r>
          </w:p>
        </w:tc>
        <w:tc>
          <w:tcPr>
            <w:tcW w:w="1620" w:type="dxa"/>
            <w:noWrap/>
            <w:vAlign w:val="center"/>
          </w:tcPr>
          <w:p w14:paraId="054C4B16" w14:textId="69D270B3" w:rsidR="00DF0F6A" w:rsidRPr="001C44AC" w:rsidRDefault="00DF0F6A" w:rsidP="00DF0F6A">
            <w:pPr>
              <w:jc w:val="center"/>
              <w:rPr>
                <w:rFonts w:cstheme="minorHAnsi"/>
              </w:rPr>
            </w:pPr>
            <w:r>
              <w:rPr>
                <w:rFonts w:ascii="Calibri" w:hAnsi="Calibri" w:cs="Calibri"/>
                <w:color w:val="000000"/>
              </w:rPr>
              <w:t>163</w:t>
            </w:r>
          </w:p>
        </w:tc>
        <w:tc>
          <w:tcPr>
            <w:tcW w:w="1615" w:type="dxa"/>
            <w:noWrap/>
            <w:vAlign w:val="center"/>
          </w:tcPr>
          <w:p w14:paraId="5AE93F5E" w14:textId="493A663B" w:rsidR="00DF0F6A" w:rsidRPr="001C44AC" w:rsidRDefault="00DF0F6A" w:rsidP="00DF0F6A">
            <w:pPr>
              <w:jc w:val="center"/>
              <w:rPr>
                <w:rFonts w:cstheme="minorHAnsi"/>
              </w:rPr>
            </w:pPr>
            <w:r>
              <w:rPr>
                <w:rFonts w:ascii="Calibri" w:hAnsi="Calibri" w:cs="Calibri"/>
                <w:color w:val="000000"/>
              </w:rPr>
              <w:t>±80</w:t>
            </w:r>
          </w:p>
        </w:tc>
      </w:tr>
      <w:tr w:rsidR="00DF0F6A" w:rsidRPr="001C44AC" w14:paraId="514B0DBE" w14:textId="77777777" w:rsidTr="00715657">
        <w:trPr>
          <w:trHeight w:val="300"/>
        </w:trPr>
        <w:tc>
          <w:tcPr>
            <w:tcW w:w="6115" w:type="dxa"/>
            <w:noWrap/>
            <w:vAlign w:val="bottom"/>
          </w:tcPr>
          <w:p w14:paraId="33A5B1CC" w14:textId="6070D227" w:rsidR="00DF0F6A" w:rsidRPr="00DF0F6A" w:rsidRDefault="00DF0F6A" w:rsidP="00DF0F6A">
            <w:pPr>
              <w:ind w:left="720"/>
              <w:rPr>
                <w:rFonts w:cstheme="minorHAnsi"/>
                <w:i/>
                <w:iCs/>
              </w:rPr>
            </w:pPr>
            <w:r w:rsidRPr="00DF0F6A">
              <w:rPr>
                <w:rFonts w:ascii="Calibri" w:hAnsi="Calibri" w:cs="Calibri"/>
                <w:i/>
                <w:iCs/>
                <w:color w:val="000000"/>
              </w:rPr>
              <w:t>2-person household</w:t>
            </w:r>
          </w:p>
        </w:tc>
        <w:tc>
          <w:tcPr>
            <w:tcW w:w="1620" w:type="dxa"/>
            <w:noWrap/>
            <w:vAlign w:val="center"/>
          </w:tcPr>
          <w:p w14:paraId="76A29CD9" w14:textId="633B1182" w:rsidR="00DF0F6A" w:rsidRPr="001C44AC" w:rsidRDefault="00DF0F6A" w:rsidP="00DF0F6A">
            <w:pPr>
              <w:jc w:val="center"/>
              <w:rPr>
                <w:rFonts w:cstheme="minorHAnsi"/>
              </w:rPr>
            </w:pPr>
            <w:r>
              <w:rPr>
                <w:rFonts w:ascii="Calibri" w:hAnsi="Calibri" w:cs="Calibri"/>
                <w:color w:val="000000"/>
              </w:rPr>
              <w:t>177</w:t>
            </w:r>
          </w:p>
        </w:tc>
        <w:tc>
          <w:tcPr>
            <w:tcW w:w="1615" w:type="dxa"/>
            <w:noWrap/>
            <w:vAlign w:val="center"/>
          </w:tcPr>
          <w:p w14:paraId="57682472" w14:textId="6C1BA548" w:rsidR="00DF0F6A" w:rsidRPr="001C44AC" w:rsidRDefault="00DF0F6A" w:rsidP="00DF0F6A">
            <w:pPr>
              <w:jc w:val="center"/>
              <w:rPr>
                <w:rFonts w:cstheme="minorHAnsi"/>
              </w:rPr>
            </w:pPr>
            <w:r>
              <w:rPr>
                <w:rFonts w:ascii="Calibri" w:hAnsi="Calibri" w:cs="Calibri"/>
                <w:color w:val="000000"/>
              </w:rPr>
              <w:t>±77</w:t>
            </w:r>
          </w:p>
        </w:tc>
      </w:tr>
      <w:tr w:rsidR="00DF0F6A" w:rsidRPr="001C44AC" w14:paraId="2DD9A5A8" w14:textId="77777777" w:rsidTr="00715657">
        <w:trPr>
          <w:trHeight w:val="300"/>
        </w:trPr>
        <w:tc>
          <w:tcPr>
            <w:tcW w:w="6115" w:type="dxa"/>
            <w:noWrap/>
            <w:vAlign w:val="bottom"/>
          </w:tcPr>
          <w:p w14:paraId="4ADDB7F2" w14:textId="7BA09B10" w:rsidR="00DF0F6A" w:rsidRPr="00DF0F6A" w:rsidRDefault="00DF0F6A" w:rsidP="00DF0F6A">
            <w:pPr>
              <w:ind w:left="720"/>
              <w:rPr>
                <w:rFonts w:cstheme="minorHAnsi"/>
                <w:i/>
                <w:iCs/>
              </w:rPr>
            </w:pPr>
            <w:r w:rsidRPr="00DF0F6A">
              <w:rPr>
                <w:rFonts w:ascii="Calibri" w:hAnsi="Calibri" w:cs="Calibri"/>
                <w:i/>
                <w:iCs/>
                <w:color w:val="000000"/>
              </w:rPr>
              <w:t>3-person household</w:t>
            </w:r>
          </w:p>
        </w:tc>
        <w:tc>
          <w:tcPr>
            <w:tcW w:w="1620" w:type="dxa"/>
            <w:noWrap/>
            <w:vAlign w:val="center"/>
          </w:tcPr>
          <w:p w14:paraId="36E6905D" w14:textId="5B69A1D5" w:rsidR="00DF0F6A" w:rsidRPr="001C44AC" w:rsidRDefault="00DF0F6A" w:rsidP="00DF0F6A">
            <w:pPr>
              <w:jc w:val="center"/>
              <w:rPr>
                <w:rFonts w:cstheme="minorHAnsi"/>
              </w:rPr>
            </w:pPr>
            <w:r>
              <w:rPr>
                <w:rFonts w:ascii="Calibri" w:hAnsi="Calibri" w:cs="Calibri"/>
                <w:color w:val="000000"/>
              </w:rPr>
              <w:t>18</w:t>
            </w:r>
          </w:p>
        </w:tc>
        <w:tc>
          <w:tcPr>
            <w:tcW w:w="1615" w:type="dxa"/>
            <w:noWrap/>
            <w:vAlign w:val="center"/>
          </w:tcPr>
          <w:p w14:paraId="463D0445" w14:textId="7E724D4E" w:rsidR="00DF0F6A" w:rsidRPr="001C44AC" w:rsidRDefault="00DF0F6A" w:rsidP="00DF0F6A">
            <w:pPr>
              <w:jc w:val="center"/>
              <w:rPr>
                <w:rFonts w:cstheme="minorHAnsi"/>
              </w:rPr>
            </w:pPr>
            <w:r>
              <w:rPr>
                <w:rFonts w:ascii="Calibri" w:hAnsi="Calibri" w:cs="Calibri"/>
                <w:color w:val="000000"/>
              </w:rPr>
              <w:t>±13</w:t>
            </w:r>
          </w:p>
        </w:tc>
      </w:tr>
      <w:tr w:rsidR="00DF0F6A" w:rsidRPr="001C44AC" w14:paraId="09FC0D23" w14:textId="77777777" w:rsidTr="00715657">
        <w:trPr>
          <w:trHeight w:val="300"/>
        </w:trPr>
        <w:tc>
          <w:tcPr>
            <w:tcW w:w="6115" w:type="dxa"/>
            <w:noWrap/>
            <w:vAlign w:val="bottom"/>
          </w:tcPr>
          <w:p w14:paraId="45CFCA36" w14:textId="020C9CE1" w:rsidR="00DF0F6A" w:rsidRPr="00DF0F6A" w:rsidRDefault="00DF0F6A" w:rsidP="00DF0F6A">
            <w:pPr>
              <w:ind w:left="720"/>
              <w:rPr>
                <w:rFonts w:cstheme="minorHAnsi"/>
                <w:i/>
                <w:iCs/>
              </w:rPr>
            </w:pPr>
            <w:r w:rsidRPr="00DF0F6A">
              <w:rPr>
                <w:rFonts w:ascii="Calibri" w:hAnsi="Calibri" w:cs="Calibri"/>
                <w:i/>
                <w:iCs/>
                <w:color w:val="000000"/>
              </w:rPr>
              <w:t>4-or-more-person household</w:t>
            </w:r>
          </w:p>
        </w:tc>
        <w:tc>
          <w:tcPr>
            <w:tcW w:w="1620" w:type="dxa"/>
            <w:noWrap/>
            <w:vAlign w:val="center"/>
          </w:tcPr>
          <w:p w14:paraId="4F8D5F85" w14:textId="38EB1AD0" w:rsidR="00DF0F6A" w:rsidRPr="001C44AC" w:rsidRDefault="00DF0F6A" w:rsidP="00DF0F6A">
            <w:pPr>
              <w:jc w:val="center"/>
              <w:rPr>
                <w:rFonts w:cstheme="minorHAnsi"/>
              </w:rPr>
            </w:pPr>
            <w:r>
              <w:rPr>
                <w:rFonts w:ascii="Calibri" w:hAnsi="Calibri" w:cs="Calibri"/>
                <w:color w:val="000000"/>
              </w:rPr>
              <w:t>4</w:t>
            </w:r>
          </w:p>
        </w:tc>
        <w:tc>
          <w:tcPr>
            <w:tcW w:w="1615" w:type="dxa"/>
            <w:noWrap/>
            <w:vAlign w:val="center"/>
          </w:tcPr>
          <w:p w14:paraId="7D964C5A" w14:textId="2E706473" w:rsidR="00DF0F6A" w:rsidRPr="001C44AC" w:rsidRDefault="00DF0F6A" w:rsidP="00DF0F6A">
            <w:pPr>
              <w:jc w:val="center"/>
              <w:rPr>
                <w:rFonts w:cstheme="minorHAnsi"/>
              </w:rPr>
            </w:pPr>
            <w:r>
              <w:rPr>
                <w:rFonts w:ascii="Calibri" w:hAnsi="Calibri" w:cs="Calibri"/>
                <w:color w:val="000000"/>
              </w:rPr>
              <w:t>±6</w:t>
            </w:r>
          </w:p>
        </w:tc>
      </w:tr>
      <w:tr w:rsidR="005B7303" w:rsidRPr="001C44AC" w14:paraId="4ABEE6E0" w14:textId="77777777" w:rsidTr="005B7303">
        <w:trPr>
          <w:trHeight w:val="300"/>
        </w:trPr>
        <w:tc>
          <w:tcPr>
            <w:tcW w:w="6115" w:type="dxa"/>
            <w:noWrap/>
            <w:vAlign w:val="center"/>
            <w:hideMark/>
          </w:tcPr>
          <w:p w14:paraId="6E8AE338" w14:textId="77777777" w:rsidR="001C44AC" w:rsidRPr="00ED0D4B" w:rsidRDefault="001C44AC" w:rsidP="00B6258B">
            <w:pPr>
              <w:rPr>
                <w:rFonts w:cstheme="minorHAnsi"/>
                <w:b/>
                <w:bCs/>
              </w:rPr>
            </w:pPr>
            <w:r w:rsidRPr="00ED0D4B">
              <w:rPr>
                <w:rFonts w:cstheme="minorHAnsi"/>
                <w:b/>
                <w:bCs/>
              </w:rPr>
              <w:t>FAMILIES</w:t>
            </w:r>
          </w:p>
        </w:tc>
        <w:tc>
          <w:tcPr>
            <w:tcW w:w="1620" w:type="dxa"/>
            <w:noWrap/>
            <w:vAlign w:val="center"/>
            <w:hideMark/>
          </w:tcPr>
          <w:p w14:paraId="613BDEEB" w14:textId="77777777" w:rsidR="001C44AC" w:rsidRPr="001C44AC" w:rsidRDefault="001C44AC" w:rsidP="00B6258B">
            <w:pPr>
              <w:jc w:val="center"/>
              <w:rPr>
                <w:rFonts w:cstheme="minorHAnsi"/>
              </w:rPr>
            </w:pPr>
          </w:p>
        </w:tc>
        <w:tc>
          <w:tcPr>
            <w:tcW w:w="1615" w:type="dxa"/>
            <w:noWrap/>
            <w:vAlign w:val="center"/>
            <w:hideMark/>
          </w:tcPr>
          <w:p w14:paraId="50E3B5B6" w14:textId="77777777" w:rsidR="001C44AC" w:rsidRPr="001C44AC" w:rsidRDefault="001C44AC" w:rsidP="00B6258B">
            <w:pPr>
              <w:jc w:val="center"/>
              <w:rPr>
                <w:rFonts w:cstheme="minorHAnsi"/>
              </w:rPr>
            </w:pPr>
          </w:p>
        </w:tc>
      </w:tr>
      <w:tr w:rsidR="005B7303" w:rsidRPr="001C44AC" w14:paraId="0F6EFFDF" w14:textId="77777777" w:rsidTr="005B7303">
        <w:trPr>
          <w:trHeight w:val="300"/>
        </w:trPr>
        <w:tc>
          <w:tcPr>
            <w:tcW w:w="6115" w:type="dxa"/>
            <w:noWrap/>
            <w:vAlign w:val="center"/>
            <w:hideMark/>
          </w:tcPr>
          <w:p w14:paraId="18ABFE76" w14:textId="411CB04A" w:rsidR="001C44AC" w:rsidRPr="00ED0D4B" w:rsidRDefault="001C44AC" w:rsidP="00ED0D4B">
            <w:pPr>
              <w:ind w:left="720"/>
              <w:rPr>
                <w:rFonts w:cstheme="minorHAnsi"/>
                <w:i/>
                <w:iCs/>
              </w:rPr>
            </w:pPr>
            <w:r w:rsidRPr="00ED0D4B">
              <w:rPr>
                <w:rFonts w:cstheme="minorHAnsi"/>
                <w:i/>
                <w:iCs/>
              </w:rPr>
              <w:t>Total families</w:t>
            </w:r>
          </w:p>
        </w:tc>
        <w:tc>
          <w:tcPr>
            <w:tcW w:w="1620" w:type="dxa"/>
            <w:noWrap/>
            <w:vAlign w:val="center"/>
            <w:hideMark/>
          </w:tcPr>
          <w:p w14:paraId="194DBB9A" w14:textId="77777777" w:rsidR="001C44AC" w:rsidRPr="001C44AC" w:rsidRDefault="001C44AC" w:rsidP="00B6258B">
            <w:pPr>
              <w:jc w:val="center"/>
              <w:rPr>
                <w:rFonts w:cstheme="minorHAnsi"/>
              </w:rPr>
            </w:pPr>
            <w:r w:rsidRPr="001C44AC">
              <w:rPr>
                <w:rFonts w:cstheme="minorHAnsi"/>
              </w:rPr>
              <w:t>191</w:t>
            </w:r>
          </w:p>
        </w:tc>
        <w:tc>
          <w:tcPr>
            <w:tcW w:w="1615" w:type="dxa"/>
            <w:noWrap/>
            <w:vAlign w:val="center"/>
            <w:hideMark/>
          </w:tcPr>
          <w:p w14:paraId="5622C867" w14:textId="77777777" w:rsidR="001C44AC" w:rsidRPr="001C44AC" w:rsidRDefault="001C44AC" w:rsidP="00B6258B">
            <w:pPr>
              <w:jc w:val="center"/>
              <w:rPr>
                <w:rFonts w:cstheme="minorHAnsi"/>
              </w:rPr>
            </w:pPr>
            <w:r w:rsidRPr="001C44AC">
              <w:rPr>
                <w:rFonts w:cstheme="minorHAnsi"/>
              </w:rPr>
              <w:t>±81</w:t>
            </w:r>
          </w:p>
        </w:tc>
      </w:tr>
      <w:tr w:rsidR="005B7303" w:rsidRPr="001C44AC" w14:paraId="62BCE088" w14:textId="77777777" w:rsidTr="005B7303">
        <w:trPr>
          <w:trHeight w:val="300"/>
        </w:trPr>
        <w:tc>
          <w:tcPr>
            <w:tcW w:w="6115" w:type="dxa"/>
            <w:noWrap/>
            <w:vAlign w:val="center"/>
            <w:hideMark/>
          </w:tcPr>
          <w:p w14:paraId="305AC96E" w14:textId="494A1721" w:rsidR="001C44AC" w:rsidRPr="00ED0D4B" w:rsidRDefault="001C44AC" w:rsidP="00ED0D4B">
            <w:pPr>
              <w:ind w:left="720"/>
              <w:rPr>
                <w:rFonts w:cstheme="minorHAnsi"/>
                <w:i/>
                <w:iCs/>
              </w:rPr>
            </w:pPr>
            <w:r w:rsidRPr="00ED0D4B">
              <w:rPr>
                <w:rFonts w:cstheme="minorHAnsi"/>
                <w:i/>
                <w:iCs/>
              </w:rPr>
              <w:t>Average family size</w:t>
            </w:r>
          </w:p>
        </w:tc>
        <w:tc>
          <w:tcPr>
            <w:tcW w:w="1620" w:type="dxa"/>
            <w:noWrap/>
            <w:vAlign w:val="center"/>
            <w:hideMark/>
          </w:tcPr>
          <w:p w14:paraId="25EE5C60" w14:textId="77777777" w:rsidR="001C44AC" w:rsidRPr="001C44AC" w:rsidRDefault="001C44AC" w:rsidP="00B6258B">
            <w:pPr>
              <w:jc w:val="center"/>
              <w:rPr>
                <w:rFonts w:cstheme="minorHAnsi"/>
              </w:rPr>
            </w:pPr>
            <w:r w:rsidRPr="001C44AC">
              <w:rPr>
                <w:rFonts w:cstheme="minorHAnsi"/>
              </w:rPr>
              <w:t>1.93</w:t>
            </w:r>
          </w:p>
        </w:tc>
        <w:tc>
          <w:tcPr>
            <w:tcW w:w="1615" w:type="dxa"/>
            <w:noWrap/>
            <w:vAlign w:val="center"/>
            <w:hideMark/>
          </w:tcPr>
          <w:p w14:paraId="445A996E" w14:textId="77777777" w:rsidR="001C44AC" w:rsidRPr="001C44AC" w:rsidRDefault="001C44AC" w:rsidP="00B6258B">
            <w:pPr>
              <w:jc w:val="center"/>
              <w:rPr>
                <w:rFonts w:cstheme="minorHAnsi"/>
              </w:rPr>
            </w:pPr>
            <w:r w:rsidRPr="001C44AC">
              <w:rPr>
                <w:rFonts w:cstheme="minorHAnsi"/>
              </w:rPr>
              <w:t>±0.32</w:t>
            </w:r>
          </w:p>
        </w:tc>
      </w:tr>
      <w:tr w:rsidR="005B7303" w:rsidRPr="001C44AC" w14:paraId="2B155082" w14:textId="77777777" w:rsidTr="005B7303">
        <w:trPr>
          <w:trHeight w:val="300"/>
        </w:trPr>
        <w:tc>
          <w:tcPr>
            <w:tcW w:w="6115" w:type="dxa"/>
            <w:noWrap/>
            <w:vAlign w:val="center"/>
            <w:hideMark/>
          </w:tcPr>
          <w:p w14:paraId="02FEBDDE" w14:textId="77777777" w:rsidR="001C44AC" w:rsidRPr="00ED0D4B" w:rsidRDefault="001C44AC" w:rsidP="00B6258B">
            <w:pPr>
              <w:rPr>
                <w:rFonts w:cstheme="minorHAnsi"/>
                <w:b/>
                <w:bCs/>
              </w:rPr>
            </w:pPr>
            <w:r w:rsidRPr="00ED0D4B">
              <w:rPr>
                <w:rFonts w:cstheme="minorHAnsi"/>
                <w:b/>
                <w:bCs/>
              </w:rPr>
              <w:t>AGE OF OWN CHILDREN</w:t>
            </w:r>
          </w:p>
        </w:tc>
        <w:tc>
          <w:tcPr>
            <w:tcW w:w="1620" w:type="dxa"/>
            <w:noWrap/>
            <w:vAlign w:val="center"/>
            <w:hideMark/>
          </w:tcPr>
          <w:p w14:paraId="01C695D0" w14:textId="77777777" w:rsidR="001C44AC" w:rsidRPr="001C44AC" w:rsidRDefault="001C44AC" w:rsidP="00B6258B">
            <w:pPr>
              <w:jc w:val="center"/>
              <w:rPr>
                <w:rFonts w:cstheme="minorHAnsi"/>
              </w:rPr>
            </w:pPr>
          </w:p>
        </w:tc>
        <w:tc>
          <w:tcPr>
            <w:tcW w:w="1615" w:type="dxa"/>
            <w:noWrap/>
            <w:vAlign w:val="center"/>
            <w:hideMark/>
          </w:tcPr>
          <w:p w14:paraId="3A6E0DD4" w14:textId="77777777" w:rsidR="001C44AC" w:rsidRPr="001C44AC" w:rsidRDefault="001C44AC" w:rsidP="00B6258B">
            <w:pPr>
              <w:jc w:val="center"/>
              <w:rPr>
                <w:rFonts w:cstheme="minorHAnsi"/>
              </w:rPr>
            </w:pPr>
          </w:p>
        </w:tc>
      </w:tr>
      <w:tr w:rsidR="005B7303" w:rsidRPr="001C44AC" w14:paraId="616236B3" w14:textId="77777777" w:rsidTr="005B7303">
        <w:trPr>
          <w:trHeight w:val="300"/>
        </w:trPr>
        <w:tc>
          <w:tcPr>
            <w:tcW w:w="6115" w:type="dxa"/>
            <w:noWrap/>
            <w:vAlign w:val="center"/>
            <w:hideMark/>
          </w:tcPr>
          <w:p w14:paraId="6BBE5CE5" w14:textId="77777777" w:rsidR="001C44AC" w:rsidRPr="00ED0D4B" w:rsidRDefault="001C44AC" w:rsidP="00ED0D4B">
            <w:pPr>
              <w:ind w:left="720"/>
              <w:rPr>
                <w:rFonts w:cstheme="minorHAnsi"/>
                <w:i/>
                <w:iCs/>
              </w:rPr>
            </w:pPr>
            <w:r w:rsidRPr="00ED0D4B">
              <w:rPr>
                <w:rFonts w:cstheme="minorHAnsi"/>
                <w:i/>
                <w:iCs/>
              </w:rPr>
              <w:t>Households with own children of the householder under 18 years</w:t>
            </w:r>
          </w:p>
        </w:tc>
        <w:tc>
          <w:tcPr>
            <w:tcW w:w="1620" w:type="dxa"/>
            <w:noWrap/>
            <w:vAlign w:val="center"/>
            <w:hideMark/>
          </w:tcPr>
          <w:p w14:paraId="00FEBCF3" w14:textId="77777777" w:rsidR="001C44AC" w:rsidRPr="001C44AC" w:rsidRDefault="001C44AC" w:rsidP="00B6258B">
            <w:pPr>
              <w:jc w:val="center"/>
              <w:rPr>
                <w:rFonts w:cstheme="minorHAnsi"/>
              </w:rPr>
            </w:pPr>
            <w:r w:rsidRPr="001C44AC">
              <w:rPr>
                <w:rFonts w:cstheme="minorHAnsi"/>
              </w:rPr>
              <w:t>27</w:t>
            </w:r>
          </w:p>
        </w:tc>
        <w:tc>
          <w:tcPr>
            <w:tcW w:w="1615" w:type="dxa"/>
            <w:noWrap/>
            <w:vAlign w:val="center"/>
            <w:hideMark/>
          </w:tcPr>
          <w:p w14:paraId="47A35E37" w14:textId="77777777" w:rsidR="001C44AC" w:rsidRPr="001C44AC" w:rsidRDefault="001C44AC" w:rsidP="00B6258B">
            <w:pPr>
              <w:jc w:val="center"/>
              <w:rPr>
                <w:rFonts w:cstheme="minorHAnsi"/>
              </w:rPr>
            </w:pPr>
            <w:r w:rsidRPr="001C44AC">
              <w:rPr>
                <w:rFonts w:cstheme="minorHAnsi"/>
              </w:rPr>
              <w:t>±15</w:t>
            </w:r>
          </w:p>
        </w:tc>
      </w:tr>
      <w:tr w:rsidR="005B7303" w:rsidRPr="001C44AC" w14:paraId="7E94481C" w14:textId="77777777" w:rsidTr="005B7303">
        <w:trPr>
          <w:trHeight w:val="300"/>
        </w:trPr>
        <w:tc>
          <w:tcPr>
            <w:tcW w:w="6115" w:type="dxa"/>
            <w:noWrap/>
            <w:vAlign w:val="center"/>
            <w:hideMark/>
          </w:tcPr>
          <w:p w14:paraId="0FD96AB7" w14:textId="77777777" w:rsidR="001C44AC" w:rsidRPr="00ED0D4B" w:rsidRDefault="001C44AC" w:rsidP="00ED0D4B">
            <w:pPr>
              <w:ind w:left="720"/>
              <w:rPr>
                <w:rFonts w:cstheme="minorHAnsi"/>
                <w:i/>
                <w:iCs/>
              </w:rPr>
            </w:pPr>
            <w:r w:rsidRPr="00ED0D4B">
              <w:rPr>
                <w:rFonts w:cstheme="minorHAnsi"/>
                <w:i/>
                <w:iCs/>
              </w:rPr>
              <w:t>Under 6 years only</w:t>
            </w:r>
          </w:p>
        </w:tc>
        <w:tc>
          <w:tcPr>
            <w:tcW w:w="1620" w:type="dxa"/>
            <w:noWrap/>
            <w:vAlign w:val="center"/>
            <w:hideMark/>
          </w:tcPr>
          <w:p w14:paraId="22DFA15C" w14:textId="77777777" w:rsidR="001C44AC" w:rsidRPr="001C44AC" w:rsidRDefault="001C44AC" w:rsidP="00B6258B">
            <w:pPr>
              <w:jc w:val="center"/>
              <w:rPr>
                <w:rFonts w:cstheme="minorHAnsi"/>
              </w:rPr>
            </w:pPr>
            <w:r w:rsidRPr="001C44AC">
              <w:rPr>
                <w:rFonts w:cstheme="minorHAnsi"/>
              </w:rPr>
              <w:t>37.0%</w:t>
            </w:r>
          </w:p>
        </w:tc>
        <w:tc>
          <w:tcPr>
            <w:tcW w:w="1615" w:type="dxa"/>
            <w:noWrap/>
            <w:vAlign w:val="center"/>
            <w:hideMark/>
          </w:tcPr>
          <w:p w14:paraId="783E06B5" w14:textId="77777777" w:rsidR="001C44AC" w:rsidRPr="001C44AC" w:rsidRDefault="001C44AC" w:rsidP="00B6258B">
            <w:pPr>
              <w:jc w:val="center"/>
              <w:rPr>
                <w:rFonts w:cstheme="minorHAnsi"/>
              </w:rPr>
            </w:pPr>
            <w:r w:rsidRPr="001C44AC">
              <w:rPr>
                <w:rFonts w:cstheme="minorHAnsi"/>
              </w:rPr>
              <w:t>±26.3</w:t>
            </w:r>
          </w:p>
        </w:tc>
      </w:tr>
      <w:tr w:rsidR="005B7303" w:rsidRPr="001C44AC" w14:paraId="4076A208" w14:textId="77777777" w:rsidTr="005B7303">
        <w:trPr>
          <w:trHeight w:val="300"/>
        </w:trPr>
        <w:tc>
          <w:tcPr>
            <w:tcW w:w="6115" w:type="dxa"/>
            <w:noWrap/>
            <w:vAlign w:val="center"/>
            <w:hideMark/>
          </w:tcPr>
          <w:p w14:paraId="199F4BD7" w14:textId="77777777" w:rsidR="001C44AC" w:rsidRPr="00ED0D4B" w:rsidRDefault="001C44AC" w:rsidP="00ED0D4B">
            <w:pPr>
              <w:ind w:left="720"/>
              <w:rPr>
                <w:rFonts w:cstheme="minorHAnsi"/>
                <w:i/>
                <w:iCs/>
              </w:rPr>
            </w:pPr>
            <w:r w:rsidRPr="00ED0D4B">
              <w:rPr>
                <w:rFonts w:cstheme="minorHAnsi"/>
                <w:i/>
                <w:iCs/>
              </w:rPr>
              <w:t>Under 6 years and 6 to 17 years</w:t>
            </w:r>
          </w:p>
        </w:tc>
        <w:tc>
          <w:tcPr>
            <w:tcW w:w="1620" w:type="dxa"/>
            <w:noWrap/>
            <w:vAlign w:val="center"/>
            <w:hideMark/>
          </w:tcPr>
          <w:p w14:paraId="0F2D3FB7" w14:textId="77777777" w:rsidR="001C44AC" w:rsidRPr="001C44AC" w:rsidRDefault="001C44AC" w:rsidP="00B6258B">
            <w:pPr>
              <w:jc w:val="center"/>
              <w:rPr>
                <w:rFonts w:cstheme="minorHAnsi"/>
              </w:rPr>
            </w:pPr>
            <w:r w:rsidRPr="001C44AC">
              <w:rPr>
                <w:rFonts w:cstheme="minorHAnsi"/>
              </w:rPr>
              <w:t>0.0%</w:t>
            </w:r>
          </w:p>
        </w:tc>
        <w:tc>
          <w:tcPr>
            <w:tcW w:w="1615" w:type="dxa"/>
            <w:noWrap/>
            <w:vAlign w:val="center"/>
            <w:hideMark/>
          </w:tcPr>
          <w:p w14:paraId="55F20354" w14:textId="77777777" w:rsidR="001C44AC" w:rsidRPr="001C44AC" w:rsidRDefault="001C44AC" w:rsidP="00B6258B">
            <w:pPr>
              <w:jc w:val="center"/>
              <w:rPr>
                <w:rFonts w:cstheme="minorHAnsi"/>
              </w:rPr>
            </w:pPr>
            <w:r w:rsidRPr="001C44AC">
              <w:rPr>
                <w:rFonts w:cstheme="minorHAnsi"/>
              </w:rPr>
              <w:t>±52.5</w:t>
            </w:r>
          </w:p>
        </w:tc>
      </w:tr>
      <w:tr w:rsidR="005B7303" w:rsidRPr="001C44AC" w14:paraId="4A19EC5A" w14:textId="77777777" w:rsidTr="005B7303">
        <w:trPr>
          <w:trHeight w:val="300"/>
        </w:trPr>
        <w:tc>
          <w:tcPr>
            <w:tcW w:w="6115" w:type="dxa"/>
            <w:noWrap/>
            <w:vAlign w:val="center"/>
            <w:hideMark/>
          </w:tcPr>
          <w:p w14:paraId="2232D1B1" w14:textId="77777777" w:rsidR="001C44AC" w:rsidRPr="00ED0D4B" w:rsidRDefault="001C44AC" w:rsidP="00ED0D4B">
            <w:pPr>
              <w:ind w:left="720"/>
              <w:rPr>
                <w:rFonts w:cstheme="minorHAnsi"/>
                <w:i/>
                <w:iCs/>
              </w:rPr>
            </w:pPr>
            <w:r w:rsidRPr="00ED0D4B">
              <w:rPr>
                <w:rFonts w:cstheme="minorHAnsi"/>
                <w:i/>
                <w:iCs/>
              </w:rPr>
              <w:t>6 to 17 years only</w:t>
            </w:r>
          </w:p>
        </w:tc>
        <w:tc>
          <w:tcPr>
            <w:tcW w:w="1620" w:type="dxa"/>
            <w:noWrap/>
            <w:vAlign w:val="center"/>
            <w:hideMark/>
          </w:tcPr>
          <w:p w14:paraId="12A34367" w14:textId="77777777" w:rsidR="001C44AC" w:rsidRPr="001C44AC" w:rsidRDefault="001C44AC" w:rsidP="00B6258B">
            <w:pPr>
              <w:jc w:val="center"/>
              <w:rPr>
                <w:rFonts w:cstheme="minorHAnsi"/>
              </w:rPr>
            </w:pPr>
            <w:r w:rsidRPr="001C44AC">
              <w:rPr>
                <w:rFonts w:cstheme="minorHAnsi"/>
              </w:rPr>
              <w:t>63.0%</w:t>
            </w:r>
          </w:p>
        </w:tc>
        <w:tc>
          <w:tcPr>
            <w:tcW w:w="1615" w:type="dxa"/>
            <w:noWrap/>
            <w:vAlign w:val="center"/>
            <w:hideMark/>
          </w:tcPr>
          <w:p w14:paraId="1C5D8091" w14:textId="77777777" w:rsidR="001C44AC" w:rsidRPr="001C44AC" w:rsidRDefault="001C44AC" w:rsidP="00B6258B">
            <w:pPr>
              <w:jc w:val="center"/>
              <w:rPr>
                <w:rFonts w:cstheme="minorHAnsi"/>
              </w:rPr>
            </w:pPr>
            <w:r w:rsidRPr="001C44AC">
              <w:rPr>
                <w:rFonts w:cstheme="minorHAnsi"/>
              </w:rPr>
              <w:t>±26.3</w:t>
            </w:r>
          </w:p>
        </w:tc>
      </w:tr>
      <w:tr w:rsidR="005B7303" w:rsidRPr="001C44AC" w14:paraId="6F9D3CAE" w14:textId="77777777" w:rsidTr="005B7303">
        <w:trPr>
          <w:trHeight w:val="300"/>
        </w:trPr>
        <w:tc>
          <w:tcPr>
            <w:tcW w:w="6115" w:type="dxa"/>
            <w:noWrap/>
            <w:vAlign w:val="center"/>
            <w:hideMark/>
          </w:tcPr>
          <w:p w14:paraId="5F8D22F1" w14:textId="77777777" w:rsidR="001C44AC" w:rsidRPr="00ED0D4B" w:rsidRDefault="001C44AC" w:rsidP="00ED0D4B">
            <w:pPr>
              <w:ind w:left="720"/>
              <w:rPr>
                <w:rFonts w:cstheme="minorHAnsi"/>
                <w:i/>
                <w:iCs/>
              </w:rPr>
            </w:pPr>
            <w:r w:rsidRPr="00ED0D4B">
              <w:rPr>
                <w:rFonts w:cstheme="minorHAnsi"/>
                <w:i/>
                <w:iCs/>
              </w:rPr>
              <w:t>Total households</w:t>
            </w:r>
          </w:p>
        </w:tc>
        <w:tc>
          <w:tcPr>
            <w:tcW w:w="1620" w:type="dxa"/>
            <w:noWrap/>
            <w:vAlign w:val="center"/>
            <w:hideMark/>
          </w:tcPr>
          <w:p w14:paraId="4482671E" w14:textId="77777777" w:rsidR="001C44AC" w:rsidRPr="001C44AC" w:rsidRDefault="001C44AC" w:rsidP="00B6258B">
            <w:pPr>
              <w:jc w:val="center"/>
              <w:rPr>
                <w:rFonts w:cstheme="minorHAnsi"/>
              </w:rPr>
            </w:pPr>
            <w:r w:rsidRPr="001C44AC">
              <w:rPr>
                <w:rFonts w:cstheme="minorHAnsi"/>
              </w:rPr>
              <w:t>362</w:t>
            </w:r>
          </w:p>
        </w:tc>
        <w:tc>
          <w:tcPr>
            <w:tcW w:w="1615" w:type="dxa"/>
            <w:noWrap/>
            <w:vAlign w:val="center"/>
            <w:hideMark/>
          </w:tcPr>
          <w:p w14:paraId="59BAD57F" w14:textId="77777777" w:rsidR="001C44AC" w:rsidRPr="001C44AC" w:rsidRDefault="001C44AC" w:rsidP="00B6258B">
            <w:pPr>
              <w:jc w:val="center"/>
              <w:rPr>
                <w:rFonts w:cstheme="minorHAnsi"/>
              </w:rPr>
            </w:pPr>
            <w:r w:rsidRPr="001C44AC">
              <w:rPr>
                <w:rFonts w:cstheme="minorHAnsi"/>
              </w:rPr>
              <w:t>±112</w:t>
            </w:r>
          </w:p>
        </w:tc>
      </w:tr>
      <w:tr w:rsidR="005B7303" w:rsidRPr="001C44AC" w14:paraId="01B39B76" w14:textId="77777777" w:rsidTr="005B7303">
        <w:trPr>
          <w:trHeight w:val="300"/>
        </w:trPr>
        <w:tc>
          <w:tcPr>
            <w:tcW w:w="6115" w:type="dxa"/>
            <w:noWrap/>
            <w:vAlign w:val="center"/>
            <w:hideMark/>
          </w:tcPr>
          <w:p w14:paraId="7E2DCD5A" w14:textId="77777777" w:rsidR="001C44AC" w:rsidRPr="00ED0D4B" w:rsidRDefault="001C44AC" w:rsidP="00B6258B">
            <w:pPr>
              <w:rPr>
                <w:rFonts w:cstheme="minorHAnsi"/>
                <w:b/>
                <w:bCs/>
              </w:rPr>
            </w:pPr>
            <w:r w:rsidRPr="00ED0D4B">
              <w:rPr>
                <w:rFonts w:cstheme="minorHAnsi"/>
                <w:b/>
                <w:bCs/>
              </w:rPr>
              <w:t>SELECTED HOUSEHOLDS BY TYPE</w:t>
            </w:r>
          </w:p>
        </w:tc>
        <w:tc>
          <w:tcPr>
            <w:tcW w:w="1620" w:type="dxa"/>
            <w:noWrap/>
            <w:vAlign w:val="center"/>
            <w:hideMark/>
          </w:tcPr>
          <w:p w14:paraId="3E2BF67F" w14:textId="77777777" w:rsidR="001C44AC" w:rsidRPr="001C44AC" w:rsidRDefault="001C44AC" w:rsidP="00B6258B">
            <w:pPr>
              <w:jc w:val="center"/>
              <w:rPr>
                <w:rFonts w:cstheme="minorHAnsi"/>
              </w:rPr>
            </w:pPr>
          </w:p>
        </w:tc>
        <w:tc>
          <w:tcPr>
            <w:tcW w:w="1615" w:type="dxa"/>
            <w:noWrap/>
            <w:vAlign w:val="center"/>
            <w:hideMark/>
          </w:tcPr>
          <w:p w14:paraId="379C4945" w14:textId="77777777" w:rsidR="001C44AC" w:rsidRPr="001C44AC" w:rsidRDefault="001C44AC" w:rsidP="00B6258B">
            <w:pPr>
              <w:jc w:val="center"/>
              <w:rPr>
                <w:rFonts w:cstheme="minorHAnsi"/>
              </w:rPr>
            </w:pPr>
          </w:p>
        </w:tc>
      </w:tr>
      <w:tr w:rsidR="005B7303" w:rsidRPr="001C44AC" w14:paraId="22E5A826" w14:textId="77777777" w:rsidTr="005B7303">
        <w:trPr>
          <w:trHeight w:val="300"/>
        </w:trPr>
        <w:tc>
          <w:tcPr>
            <w:tcW w:w="6115" w:type="dxa"/>
            <w:noWrap/>
            <w:vAlign w:val="center"/>
            <w:hideMark/>
          </w:tcPr>
          <w:p w14:paraId="625FA49A" w14:textId="77777777" w:rsidR="001C44AC" w:rsidRPr="00ED0D4B" w:rsidRDefault="001C44AC" w:rsidP="00ED0D4B">
            <w:pPr>
              <w:ind w:left="720"/>
              <w:rPr>
                <w:rFonts w:cstheme="minorHAnsi"/>
                <w:i/>
                <w:iCs/>
              </w:rPr>
            </w:pPr>
            <w:r w:rsidRPr="00ED0D4B">
              <w:rPr>
                <w:rFonts w:cstheme="minorHAnsi"/>
                <w:i/>
                <w:iCs/>
              </w:rPr>
              <w:t>Households with one or more people under 18 years</w:t>
            </w:r>
          </w:p>
        </w:tc>
        <w:tc>
          <w:tcPr>
            <w:tcW w:w="1620" w:type="dxa"/>
            <w:noWrap/>
            <w:vAlign w:val="center"/>
            <w:hideMark/>
          </w:tcPr>
          <w:p w14:paraId="0A3AA4A2" w14:textId="77777777" w:rsidR="001C44AC" w:rsidRPr="001C44AC" w:rsidRDefault="001C44AC" w:rsidP="00B6258B">
            <w:pPr>
              <w:jc w:val="center"/>
              <w:rPr>
                <w:rFonts w:cstheme="minorHAnsi"/>
              </w:rPr>
            </w:pPr>
            <w:r w:rsidRPr="001C44AC">
              <w:rPr>
                <w:rFonts w:cstheme="minorHAnsi"/>
              </w:rPr>
              <w:t>7.5%</w:t>
            </w:r>
          </w:p>
        </w:tc>
        <w:tc>
          <w:tcPr>
            <w:tcW w:w="1615" w:type="dxa"/>
            <w:noWrap/>
            <w:vAlign w:val="center"/>
            <w:hideMark/>
          </w:tcPr>
          <w:p w14:paraId="06CA8890" w14:textId="77777777" w:rsidR="001C44AC" w:rsidRPr="001C44AC" w:rsidRDefault="001C44AC" w:rsidP="00B6258B">
            <w:pPr>
              <w:jc w:val="center"/>
              <w:rPr>
                <w:rFonts w:cstheme="minorHAnsi"/>
              </w:rPr>
            </w:pPr>
            <w:r w:rsidRPr="001C44AC">
              <w:rPr>
                <w:rFonts w:cstheme="minorHAnsi"/>
              </w:rPr>
              <w:t>±4.2</w:t>
            </w:r>
          </w:p>
        </w:tc>
      </w:tr>
      <w:tr w:rsidR="005B7303" w:rsidRPr="001C44AC" w14:paraId="31BD4920" w14:textId="77777777" w:rsidTr="005B7303">
        <w:trPr>
          <w:trHeight w:val="300"/>
        </w:trPr>
        <w:tc>
          <w:tcPr>
            <w:tcW w:w="6115" w:type="dxa"/>
            <w:noWrap/>
            <w:vAlign w:val="center"/>
            <w:hideMark/>
          </w:tcPr>
          <w:p w14:paraId="5F70773F" w14:textId="77777777" w:rsidR="001C44AC" w:rsidRPr="00ED0D4B" w:rsidRDefault="001C44AC" w:rsidP="00ED0D4B">
            <w:pPr>
              <w:ind w:left="720"/>
              <w:rPr>
                <w:rFonts w:cstheme="minorHAnsi"/>
                <w:i/>
                <w:iCs/>
              </w:rPr>
            </w:pPr>
            <w:r w:rsidRPr="00ED0D4B">
              <w:rPr>
                <w:rFonts w:cstheme="minorHAnsi"/>
                <w:i/>
                <w:iCs/>
              </w:rPr>
              <w:t>Households with one or more people 60 years and over</w:t>
            </w:r>
          </w:p>
        </w:tc>
        <w:tc>
          <w:tcPr>
            <w:tcW w:w="1620" w:type="dxa"/>
            <w:noWrap/>
            <w:vAlign w:val="center"/>
            <w:hideMark/>
          </w:tcPr>
          <w:p w14:paraId="789B83A0" w14:textId="77777777" w:rsidR="001C44AC" w:rsidRPr="001C44AC" w:rsidRDefault="001C44AC" w:rsidP="00B6258B">
            <w:pPr>
              <w:jc w:val="center"/>
              <w:rPr>
                <w:rFonts w:cstheme="minorHAnsi"/>
              </w:rPr>
            </w:pPr>
            <w:r w:rsidRPr="001C44AC">
              <w:rPr>
                <w:rFonts w:cstheme="minorHAnsi"/>
              </w:rPr>
              <w:t>61.9%</w:t>
            </w:r>
          </w:p>
        </w:tc>
        <w:tc>
          <w:tcPr>
            <w:tcW w:w="1615" w:type="dxa"/>
            <w:noWrap/>
            <w:vAlign w:val="center"/>
            <w:hideMark/>
          </w:tcPr>
          <w:p w14:paraId="011585DE" w14:textId="77777777" w:rsidR="001C44AC" w:rsidRPr="001C44AC" w:rsidRDefault="001C44AC" w:rsidP="00B6258B">
            <w:pPr>
              <w:jc w:val="center"/>
              <w:rPr>
                <w:rFonts w:cstheme="minorHAnsi"/>
              </w:rPr>
            </w:pPr>
            <w:r w:rsidRPr="001C44AC">
              <w:rPr>
                <w:rFonts w:cstheme="minorHAnsi"/>
              </w:rPr>
              <w:t>±14.8</w:t>
            </w:r>
          </w:p>
        </w:tc>
      </w:tr>
      <w:tr w:rsidR="005B7303" w:rsidRPr="001C44AC" w14:paraId="3782CFFA" w14:textId="77777777" w:rsidTr="005B7303">
        <w:trPr>
          <w:trHeight w:val="300"/>
        </w:trPr>
        <w:tc>
          <w:tcPr>
            <w:tcW w:w="6115" w:type="dxa"/>
            <w:noWrap/>
            <w:vAlign w:val="center"/>
            <w:hideMark/>
          </w:tcPr>
          <w:p w14:paraId="45AB224C" w14:textId="77777777" w:rsidR="001C44AC" w:rsidRPr="00ED0D4B" w:rsidRDefault="001C44AC" w:rsidP="00ED0D4B">
            <w:pPr>
              <w:ind w:left="720"/>
              <w:rPr>
                <w:rFonts w:cstheme="minorHAnsi"/>
                <w:i/>
                <w:iCs/>
              </w:rPr>
            </w:pPr>
            <w:r w:rsidRPr="00ED0D4B">
              <w:rPr>
                <w:rFonts w:cstheme="minorHAnsi"/>
                <w:i/>
                <w:iCs/>
              </w:rPr>
              <w:t>Households with one or more people 65 years and over</w:t>
            </w:r>
          </w:p>
        </w:tc>
        <w:tc>
          <w:tcPr>
            <w:tcW w:w="1620" w:type="dxa"/>
            <w:noWrap/>
            <w:vAlign w:val="center"/>
            <w:hideMark/>
          </w:tcPr>
          <w:p w14:paraId="514FA280" w14:textId="77777777" w:rsidR="001C44AC" w:rsidRPr="001C44AC" w:rsidRDefault="001C44AC" w:rsidP="00B6258B">
            <w:pPr>
              <w:jc w:val="center"/>
              <w:rPr>
                <w:rFonts w:cstheme="minorHAnsi"/>
              </w:rPr>
            </w:pPr>
            <w:r w:rsidRPr="001C44AC">
              <w:rPr>
                <w:rFonts w:cstheme="minorHAnsi"/>
              </w:rPr>
              <w:t>56.4%</w:t>
            </w:r>
          </w:p>
        </w:tc>
        <w:tc>
          <w:tcPr>
            <w:tcW w:w="1615" w:type="dxa"/>
            <w:noWrap/>
            <w:vAlign w:val="center"/>
            <w:hideMark/>
          </w:tcPr>
          <w:p w14:paraId="7719E568" w14:textId="77777777" w:rsidR="001C44AC" w:rsidRPr="001C44AC" w:rsidRDefault="001C44AC" w:rsidP="00B6258B">
            <w:pPr>
              <w:jc w:val="center"/>
              <w:rPr>
                <w:rFonts w:cstheme="minorHAnsi"/>
              </w:rPr>
            </w:pPr>
            <w:r w:rsidRPr="001C44AC">
              <w:rPr>
                <w:rFonts w:cstheme="minorHAnsi"/>
              </w:rPr>
              <w:t>±14.7</w:t>
            </w:r>
          </w:p>
        </w:tc>
      </w:tr>
      <w:tr w:rsidR="005B7303" w:rsidRPr="001C44AC" w14:paraId="2C596AEA" w14:textId="77777777" w:rsidTr="005B7303">
        <w:trPr>
          <w:trHeight w:val="300"/>
        </w:trPr>
        <w:tc>
          <w:tcPr>
            <w:tcW w:w="6115" w:type="dxa"/>
            <w:noWrap/>
            <w:vAlign w:val="center"/>
            <w:hideMark/>
          </w:tcPr>
          <w:p w14:paraId="307173C7" w14:textId="77777777" w:rsidR="001C44AC" w:rsidRPr="00ED0D4B" w:rsidRDefault="001C44AC" w:rsidP="00ED0D4B">
            <w:pPr>
              <w:ind w:left="720"/>
              <w:rPr>
                <w:rFonts w:cstheme="minorHAnsi"/>
                <w:i/>
                <w:iCs/>
              </w:rPr>
            </w:pPr>
            <w:r w:rsidRPr="00ED0D4B">
              <w:rPr>
                <w:rFonts w:cstheme="minorHAnsi"/>
                <w:i/>
                <w:iCs/>
              </w:rPr>
              <w:t>Householder living alone</w:t>
            </w:r>
          </w:p>
        </w:tc>
        <w:tc>
          <w:tcPr>
            <w:tcW w:w="1620" w:type="dxa"/>
            <w:noWrap/>
            <w:vAlign w:val="center"/>
            <w:hideMark/>
          </w:tcPr>
          <w:p w14:paraId="0B73577D" w14:textId="77777777" w:rsidR="001C44AC" w:rsidRPr="001C44AC" w:rsidRDefault="001C44AC" w:rsidP="00B6258B">
            <w:pPr>
              <w:jc w:val="center"/>
              <w:rPr>
                <w:rFonts w:cstheme="minorHAnsi"/>
              </w:rPr>
            </w:pPr>
            <w:r w:rsidRPr="001C44AC">
              <w:rPr>
                <w:rFonts w:cstheme="minorHAnsi"/>
              </w:rPr>
              <w:t>45.0%</w:t>
            </w:r>
          </w:p>
        </w:tc>
        <w:tc>
          <w:tcPr>
            <w:tcW w:w="1615" w:type="dxa"/>
            <w:noWrap/>
            <w:vAlign w:val="center"/>
            <w:hideMark/>
          </w:tcPr>
          <w:p w14:paraId="62F000BE" w14:textId="77777777" w:rsidR="001C44AC" w:rsidRPr="001C44AC" w:rsidRDefault="001C44AC" w:rsidP="00B6258B">
            <w:pPr>
              <w:jc w:val="center"/>
              <w:rPr>
                <w:rFonts w:cstheme="minorHAnsi"/>
              </w:rPr>
            </w:pPr>
            <w:r w:rsidRPr="001C44AC">
              <w:rPr>
                <w:rFonts w:cstheme="minorHAnsi"/>
              </w:rPr>
              <w:t>±16.2</w:t>
            </w:r>
          </w:p>
        </w:tc>
      </w:tr>
      <w:tr w:rsidR="005B7303" w:rsidRPr="001C44AC" w14:paraId="176BAD51" w14:textId="77777777" w:rsidTr="005B7303">
        <w:trPr>
          <w:trHeight w:val="300"/>
        </w:trPr>
        <w:tc>
          <w:tcPr>
            <w:tcW w:w="6115" w:type="dxa"/>
            <w:noWrap/>
            <w:vAlign w:val="center"/>
            <w:hideMark/>
          </w:tcPr>
          <w:p w14:paraId="7D677071" w14:textId="77777777" w:rsidR="001C44AC" w:rsidRPr="00ED0D4B" w:rsidRDefault="001C44AC" w:rsidP="00ED0D4B">
            <w:pPr>
              <w:ind w:left="720"/>
              <w:rPr>
                <w:rFonts w:cstheme="minorHAnsi"/>
                <w:i/>
                <w:iCs/>
              </w:rPr>
            </w:pPr>
            <w:r w:rsidRPr="00ED0D4B">
              <w:rPr>
                <w:rFonts w:cstheme="minorHAnsi"/>
                <w:i/>
                <w:iCs/>
              </w:rPr>
              <w:t>65 years and over</w:t>
            </w:r>
          </w:p>
        </w:tc>
        <w:tc>
          <w:tcPr>
            <w:tcW w:w="1620" w:type="dxa"/>
            <w:noWrap/>
            <w:vAlign w:val="center"/>
            <w:hideMark/>
          </w:tcPr>
          <w:p w14:paraId="04518C4D" w14:textId="77777777" w:rsidR="001C44AC" w:rsidRPr="001C44AC" w:rsidRDefault="001C44AC" w:rsidP="00B6258B">
            <w:pPr>
              <w:jc w:val="center"/>
              <w:rPr>
                <w:rFonts w:cstheme="minorHAnsi"/>
              </w:rPr>
            </w:pPr>
            <w:r w:rsidRPr="001C44AC">
              <w:rPr>
                <w:rFonts w:cstheme="minorHAnsi"/>
              </w:rPr>
              <w:t>16.6%</w:t>
            </w:r>
          </w:p>
        </w:tc>
        <w:tc>
          <w:tcPr>
            <w:tcW w:w="1615" w:type="dxa"/>
            <w:noWrap/>
            <w:vAlign w:val="center"/>
            <w:hideMark/>
          </w:tcPr>
          <w:p w14:paraId="47801327" w14:textId="77777777" w:rsidR="001C44AC" w:rsidRPr="001C44AC" w:rsidRDefault="001C44AC" w:rsidP="00B6258B">
            <w:pPr>
              <w:jc w:val="center"/>
              <w:rPr>
                <w:rFonts w:cstheme="minorHAnsi"/>
              </w:rPr>
            </w:pPr>
            <w:r w:rsidRPr="001C44AC">
              <w:rPr>
                <w:rFonts w:cstheme="minorHAnsi"/>
              </w:rPr>
              <w:t>±6.8</w:t>
            </w:r>
          </w:p>
        </w:tc>
      </w:tr>
    </w:tbl>
    <w:p w14:paraId="6EEDAE81" w14:textId="77777777" w:rsidR="0037617B" w:rsidRDefault="0037617B" w:rsidP="002E704A"/>
    <w:p w14:paraId="24D39045" w14:textId="77777777" w:rsidR="0037617B" w:rsidRDefault="0037617B">
      <w:r>
        <w:br w:type="page"/>
      </w:r>
    </w:p>
    <w:p w14:paraId="3DC4497F" w14:textId="2F4C7FE7" w:rsidR="005A64E4" w:rsidRDefault="00CE55D3" w:rsidP="002E704A">
      <w:r>
        <w:lastRenderedPageBreak/>
        <w:t xml:space="preserve">According to the American Communities Survey 5-year estimates (2022), there are approximately 362 households in the Town of Carrabassett Valley, 191 of which (52.7%) are family households. The average household size is estimated as 1.53 persons. There are slightly more 2-person households (49%) </w:t>
      </w:r>
      <w:r w:rsidR="00D90DB5">
        <w:t xml:space="preserve">than 1-person households (45%) and very few 3-person (4.9%) and 4-or-more-person households (1.1%). The average family size is estimated at 1.93 persons. </w:t>
      </w:r>
    </w:p>
    <w:p w14:paraId="0AE5C08E" w14:textId="14DDCB93" w:rsidR="00D90DB5" w:rsidRPr="005A64E4" w:rsidRDefault="00D90DB5" w:rsidP="002E704A">
      <w:r>
        <w:t>Of the 27 households with own children under 18 years, 37% are estimated to have under 6 years only and 63% are estimated to have 6 to 17 years only. No households with own children under 18 years were estimated to have both under 6 years old and 6 to 17 years old. These data points also report moderate margins of error and should be regarded as best estimates but with recognition of their limitations.</w:t>
      </w:r>
    </w:p>
    <w:p w14:paraId="2A54F361" w14:textId="77777777" w:rsidR="0037617B" w:rsidRDefault="0054383F">
      <w:r>
        <w:t xml:space="preserve">Of the estimated 362 households reported </w:t>
      </w:r>
      <w:r w:rsidR="0037617B">
        <w:t>in</w:t>
      </w:r>
      <w:r>
        <w:t xml:space="preserve"> the ACS 5-year estimates, 7.5% have one or more people under 18 years</w:t>
      </w:r>
      <w:r w:rsidR="0037617B">
        <w:t>;</w:t>
      </w:r>
      <w:r>
        <w:t xml:space="preserve"> 61.9% have one or more people 60 years and over</w:t>
      </w:r>
      <w:r w:rsidR="0037617B">
        <w:t>;</w:t>
      </w:r>
      <w:r>
        <w:t xml:space="preserve"> 56.4% have one or more people 65 years and over</w:t>
      </w:r>
      <w:r w:rsidR="0037617B">
        <w:t>;</w:t>
      </w:r>
      <w:r>
        <w:t xml:space="preserve"> </w:t>
      </w:r>
      <w:r w:rsidR="00190563">
        <w:t>and 45% have a householder living alone.</w:t>
      </w:r>
      <w:r w:rsidR="0037617B">
        <w:t xml:space="preserve"> </w:t>
      </w:r>
    </w:p>
    <w:p w14:paraId="124EC990" w14:textId="23DE5830" w:rsidR="005A64E4" w:rsidRDefault="005A64E4">
      <w:pPr>
        <w:rPr>
          <w:b/>
          <w:bCs/>
        </w:rPr>
      </w:pPr>
      <w:r>
        <w:rPr>
          <w:b/>
          <w:bCs/>
        </w:rPr>
        <w:br w:type="page"/>
      </w:r>
    </w:p>
    <w:p w14:paraId="3BC61CD8" w14:textId="2E446E78" w:rsidR="002E704A" w:rsidRPr="00E8656A" w:rsidRDefault="005A64E4" w:rsidP="002E704A">
      <w:pPr>
        <w:rPr>
          <w:b/>
          <w:bCs/>
          <w:sz w:val="28"/>
          <w:szCs w:val="28"/>
        </w:rPr>
      </w:pPr>
      <w:r w:rsidRPr="00E8656A">
        <w:rPr>
          <w:b/>
          <w:bCs/>
          <w:sz w:val="28"/>
          <w:szCs w:val="28"/>
        </w:rPr>
        <w:lastRenderedPageBreak/>
        <w:t>INCOME</w:t>
      </w:r>
    </w:p>
    <w:tbl>
      <w:tblPr>
        <w:tblStyle w:val="TableGrid"/>
        <w:tblW w:w="9355" w:type="dxa"/>
        <w:tblLook w:val="04A0" w:firstRow="1" w:lastRow="0" w:firstColumn="1" w:lastColumn="0" w:noHBand="0" w:noVBand="1"/>
      </w:tblPr>
      <w:tblGrid>
        <w:gridCol w:w="6475"/>
        <w:gridCol w:w="1440"/>
        <w:gridCol w:w="1440"/>
      </w:tblGrid>
      <w:tr w:rsidR="00AD2329" w:rsidRPr="003E7FD6" w14:paraId="31253A51" w14:textId="42CDCCFE" w:rsidTr="00AD2329">
        <w:trPr>
          <w:trHeight w:val="1430"/>
        </w:trPr>
        <w:tc>
          <w:tcPr>
            <w:tcW w:w="9355" w:type="dxa"/>
            <w:gridSpan w:val="3"/>
            <w:hideMark/>
          </w:tcPr>
          <w:p w14:paraId="6833F035" w14:textId="0D56C80B" w:rsidR="00AD2329" w:rsidRPr="003E7FD6" w:rsidRDefault="00AD2329">
            <w:pPr>
              <w:spacing w:after="160" w:line="259" w:lineRule="auto"/>
              <w:rPr>
                <w:b/>
                <w:bCs/>
                <w:sz w:val="28"/>
                <w:szCs w:val="28"/>
              </w:rPr>
            </w:pPr>
            <w:r>
              <w:rPr>
                <w:b/>
                <w:bCs/>
                <w:sz w:val="28"/>
                <w:szCs w:val="28"/>
              </w:rPr>
              <w:t xml:space="preserve">Town of Carrabassett Valley </w:t>
            </w:r>
            <w:r w:rsidRPr="003E7FD6">
              <w:rPr>
                <w:b/>
                <w:bCs/>
                <w:sz w:val="28"/>
                <w:szCs w:val="28"/>
              </w:rPr>
              <w:t xml:space="preserve">Individuals' Income </w:t>
            </w:r>
            <w:r>
              <w:rPr>
                <w:b/>
                <w:bCs/>
                <w:sz w:val="28"/>
                <w:szCs w:val="28"/>
              </w:rPr>
              <w:t>in</w:t>
            </w:r>
            <w:r w:rsidRPr="003E7FD6">
              <w:rPr>
                <w:b/>
                <w:bCs/>
                <w:sz w:val="28"/>
                <w:szCs w:val="28"/>
              </w:rPr>
              <w:t xml:space="preserve"> </w:t>
            </w:r>
            <w:r>
              <w:rPr>
                <w:b/>
                <w:bCs/>
                <w:sz w:val="28"/>
                <w:szCs w:val="28"/>
              </w:rPr>
              <w:t>T</w:t>
            </w:r>
            <w:r w:rsidRPr="003E7FD6">
              <w:rPr>
                <w:b/>
                <w:bCs/>
                <w:sz w:val="28"/>
                <w:szCs w:val="28"/>
              </w:rPr>
              <w:t>he Past 12 Months In 2022 Inflation-Adjusted Dollars</w:t>
            </w:r>
            <w:r>
              <w:rPr>
                <w:b/>
                <w:bCs/>
                <w:sz w:val="28"/>
                <w:szCs w:val="28"/>
              </w:rPr>
              <w:t xml:space="preserve"> (ACS 2022)</w:t>
            </w:r>
          </w:p>
          <w:p w14:paraId="1C317A15" w14:textId="3C92BDC1" w:rsidR="00AD2329" w:rsidRPr="003E7FD6" w:rsidRDefault="00AD2329">
            <w:pPr>
              <w:rPr>
                <w:b/>
                <w:bCs/>
                <w:i/>
                <w:iCs/>
              </w:rPr>
            </w:pPr>
            <w:r w:rsidRPr="003E7FD6">
              <w:rPr>
                <w:i/>
                <w:iCs/>
              </w:rPr>
              <w:t>Source: U.S. Census Bureau. "Selected Characteristics of the Total and Native Populations in the United States." American Community Survey, ACS 5-Year Estimates Subject Tables, Table S0601, 2022</w:t>
            </w:r>
          </w:p>
        </w:tc>
      </w:tr>
      <w:tr w:rsidR="00AD2329" w:rsidRPr="003E7FD6" w14:paraId="0B3BEA10" w14:textId="23F30766" w:rsidTr="00AD2329">
        <w:trPr>
          <w:trHeight w:val="900"/>
        </w:trPr>
        <w:tc>
          <w:tcPr>
            <w:tcW w:w="6475" w:type="dxa"/>
            <w:vAlign w:val="center"/>
          </w:tcPr>
          <w:p w14:paraId="5EBC65B9" w14:textId="77777777" w:rsidR="00AD2329" w:rsidRPr="003E7FD6" w:rsidRDefault="00AD2329">
            <w:pPr>
              <w:rPr>
                <w:b/>
                <w:bCs/>
              </w:rPr>
            </w:pPr>
          </w:p>
        </w:tc>
        <w:tc>
          <w:tcPr>
            <w:tcW w:w="1440" w:type="dxa"/>
            <w:vAlign w:val="center"/>
          </w:tcPr>
          <w:p w14:paraId="7C97610A" w14:textId="525DA037" w:rsidR="00AD2329" w:rsidRPr="003E7FD6" w:rsidRDefault="00AD2329" w:rsidP="003E7FD6">
            <w:pPr>
              <w:jc w:val="center"/>
              <w:rPr>
                <w:b/>
                <w:bCs/>
              </w:rPr>
            </w:pPr>
            <w:r w:rsidRPr="003E7FD6">
              <w:rPr>
                <w:b/>
                <w:bCs/>
              </w:rPr>
              <w:t>Estimate</w:t>
            </w:r>
          </w:p>
        </w:tc>
        <w:tc>
          <w:tcPr>
            <w:tcW w:w="1440" w:type="dxa"/>
            <w:vAlign w:val="center"/>
          </w:tcPr>
          <w:p w14:paraId="5672BFFB" w14:textId="372FED90" w:rsidR="00AD2329" w:rsidRPr="003E7FD6" w:rsidRDefault="00AD2329" w:rsidP="003E7FD6">
            <w:pPr>
              <w:jc w:val="center"/>
              <w:rPr>
                <w:b/>
                <w:bCs/>
              </w:rPr>
            </w:pPr>
            <w:r w:rsidRPr="003E7FD6">
              <w:rPr>
                <w:b/>
                <w:bCs/>
              </w:rPr>
              <w:t>Margin of Error</w:t>
            </w:r>
          </w:p>
        </w:tc>
      </w:tr>
      <w:tr w:rsidR="00AD2329" w:rsidRPr="003E7FD6" w14:paraId="6E6F24B8" w14:textId="7AD1BC86" w:rsidTr="00AD2329">
        <w:trPr>
          <w:trHeight w:val="300"/>
        </w:trPr>
        <w:tc>
          <w:tcPr>
            <w:tcW w:w="6475" w:type="dxa"/>
            <w:vAlign w:val="center"/>
            <w:hideMark/>
          </w:tcPr>
          <w:p w14:paraId="7C3B0239" w14:textId="1E18029B" w:rsidR="00AD2329" w:rsidRPr="003E7FD6" w:rsidRDefault="00AD2329" w:rsidP="003E7FD6">
            <w:pPr>
              <w:rPr>
                <w:b/>
                <w:bCs/>
              </w:rPr>
            </w:pPr>
            <w:r w:rsidRPr="003E7FD6">
              <w:rPr>
                <w:b/>
                <w:bCs/>
              </w:rPr>
              <w:t>POPULATION 15 YEARS AND OVER</w:t>
            </w:r>
          </w:p>
        </w:tc>
        <w:tc>
          <w:tcPr>
            <w:tcW w:w="1440" w:type="dxa"/>
            <w:vAlign w:val="center"/>
            <w:hideMark/>
          </w:tcPr>
          <w:p w14:paraId="7ED14BE0" w14:textId="77777777" w:rsidR="00AD2329" w:rsidRPr="003E7FD6" w:rsidRDefault="00AD2329" w:rsidP="003E7FD6">
            <w:pPr>
              <w:jc w:val="center"/>
            </w:pPr>
            <w:r w:rsidRPr="003E7FD6">
              <w:t>576</w:t>
            </w:r>
          </w:p>
        </w:tc>
        <w:tc>
          <w:tcPr>
            <w:tcW w:w="1440" w:type="dxa"/>
            <w:vAlign w:val="center"/>
            <w:hideMark/>
          </w:tcPr>
          <w:p w14:paraId="3E58C44A" w14:textId="2CD7CE23" w:rsidR="00AD2329" w:rsidRPr="003E7FD6" w:rsidRDefault="00AD2329" w:rsidP="00AD2329">
            <w:pPr>
              <w:jc w:val="center"/>
            </w:pPr>
            <w:r w:rsidRPr="003E7FD6">
              <w:t>±143</w:t>
            </w:r>
          </w:p>
        </w:tc>
      </w:tr>
      <w:tr w:rsidR="00AD2329" w:rsidRPr="003E7FD6" w14:paraId="29048C84" w14:textId="67E8E3C3" w:rsidTr="00AD2329">
        <w:trPr>
          <w:trHeight w:val="300"/>
        </w:trPr>
        <w:tc>
          <w:tcPr>
            <w:tcW w:w="6475" w:type="dxa"/>
            <w:vAlign w:val="center"/>
            <w:hideMark/>
          </w:tcPr>
          <w:p w14:paraId="38E09EE1" w14:textId="77777777" w:rsidR="00AD2329" w:rsidRPr="001F4C4A" w:rsidRDefault="00AD2329" w:rsidP="001F4C4A">
            <w:pPr>
              <w:ind w:left="720"/>
              <w:rPr>
                <w:i/>
                <w:iCs/>
              </w:rPr>
            </w:pPr>
            <w:r w:rsidRPr="001F4C4A">
              <w:rPr>
                <w:i/>
                <w:iCs/>
              </w:rPr>
              <w:t>$1 to $9,999 or loss</w:t>
            </w:r>
          </w:p>
        </w:tc>
        <w:tc>
          <w:tcPr>
            <w:tcW w:w="1440" w:type="dxa"/>
            <w:vAlign w:val="center"/>
            <w:hideMark/>
          </w:tcPr>
          <w:p w14:paraId="1C3BF748" w14:textId="77777777" w:rsidR="00AD2329" w:rsidRPr="003E7FD6" w:rsidRDefault="00AD2329" w:rsidP="003E7FD6">
            <w:pPr>
              <w:jc w:val="center"/>
            </w:pPr>
            <w:r w:rsidRPr="003E7FD6">
              <w:t>10.20%</w:t>
            </w:r>
          </w:p>
        </w:tc>
        <w:tc>
          <w:tcPr>
            <w:tcW w:w="1440" w:type="dxa"/>
            <w:vAlign w:val="center"/>
            <w:hideMark/>
          </w:tcPr>
          <w:p w14:paraId="438A3AF4" w14:textId="77777777" w:rsidR="00AD2329" w:rsidRPr="003E7FD6" w:rsidRDefault="00AD2329" w:rsidP="00AD2329">
            <w:pPr>
              <w:jc w:val="center"/>
            </w:pPr>
            <w:r w:rsidRPr="003E7FD6">
              <w:t>±6.0</w:t>
            </w:r>
          </w:p>
        </w:tc>
      </w:tr>
      <w:tr w:rsidR="00AD2329" w:rsidRPr="003E7FD6" w14:paraId="4A677515" w14:textId="1EA5DAAE" w:rsidTr="00AD2329">
        <w:trPr>
          <w:trHeight w:val="300"/>
        </w:trPr>
        <w:tc>
          <w:tcPr>
            <w:tcW w:w="6475" w:type="dxa"/>
            <w:vAlign w:val="center"/>
            <w:hideMark/>
          </w:tcPr>
          <w:p w14:paraId="2E8F70AE" w14:textId="77777777" w:rsidR="00AD2329" w:rsidRPr="001F4C4A" w:rsidRDefault="00AD2329" w:rsidP="001F4C4A">
            <w:pPr>
              <w:ind w:left="720"/>
              <w:rPr>
                <w:i/>
                <w:iCs/>
              </w:rPr>
            </w:pPr>
            <w:r w:rsidRPr="001F4C4A">
              <w:rPr>
                <w:i/>
                <w:iCs/>
              </w:rPr>
              <w:t>$10,000 to $14,999</w:t>
            </w:r>
          </w:p>
        </w:tc>
        <w:tc>
          <w:tcPr>
            <w:tcW w:w="1440" w:type="dxa"/>
            <w:vAlign w:val="center"/>
            <w:hideMark/>
          </w:tcPr>
          <w:p w14:paraId="4FE29D0D" w14:textId="77777777" w:rsidR="00AD2329" w:rsidRPr="003E7FD6" w:rsidRDefault="00AD2329" w:rsidP="003E7FD6">
            <w:pPr>
              <w:jc w:val="center"/>
            </w:pPr>
            <w:r w:rsidRPr="003E7FD6">
              <w:t>3.30%</w:t>
            </w:r>
          </w:p>
        </w:tc>
        <w:tc>
          <w:tcPr>
            <w:tcW w:w="1440" w:type="dxa"/>
            <w:vAlign w:val="center"/>
            <w:hideMark/>
          </w:tcPr>
          <w:p w14:paraId="43AFCD65" w14:textId="77777777" w:rsidR="00AD2329" w:rsidRPr="003E7FD6" w:rsidRDefault="00AD2329" w:rsidP="00AD2329">
            <w:pPr>
              <w:jc w:val="center"/>
            </w:pPr>
            <w:r w:rsidRPr="003E7FD6">
              <w:t>±2.5</w:t>
            </w:r>
          </w:p>
        </w:tc>
      </w:tr>
      <w:tr w:rsidR="00AD2329" w:rsidRPr="003E7FD6" w14:paraId="0C52CE64" w14:textId="664915E1" w:rsidTr="00AD2329">
        <w:trPr>
          <w:trHeight w:val="300"/>
        </w:trPr>
        <w:tc>
          <w:tcPr>
            <w:tcW w:w="6475" w:type="dxa"/>
            <w:vAlign w:val="center"/>
            <w:hideMark/>
          </w:tcPr>
          <w:p w14:paraId="7E0374DA" w14:textId="77777777" w:rsidR="00AD2329" w:rsidRPr="001F4C4A" w:rsidRDefault="00AD2329" w:rsidP="001F4C4A">
            <w:pPr>
              <w:ind w:left="720"/>
              <w:rPr>
                <w:i/>
                <w:iCs/>
              </w:rPr>
            </w:pPr>
            <w:r w:rsidRPr="001F4C4A">
              <w:rPr>
                <w:i/>
                <w:iCs/>
              </w:rPr>
              <w:t>$15,000 to $24,999</w:t>
            </w:r>
          </w:p>
        </w:tc>
        <w:tc>
          <w:tcPr>
            <w:tcW w:w="1440" w:type="dxa"/>
            <w:vAlign w:val="center"/>
            <w:hideMark/>
          </w:tcPr>
          <w:p w14:paraId="65A6C14F" w14:textId="77777777" w:rsidR="00AD2329" w:rsidRPr="003E7FD6" w:rsidRDefault="00AD2329" w:rsidP="003E7FD6">
            <w:pPr>
              <w:jc w:val="center"/>
            </w:pPr>
            <w:r w:rsidRPr="003E7FD6">
              <w:t>9.70%</w:t>
            </w:r>
          </w:p>
        </w:tc>
        <w:tc>
          <w:tcPr>
            <w:tcW w:w="1440" w:type="dxa"/>
            <w:vAlign w:val="center"/>
            <w:hideMark/>
          </w:tcPr>
          <w:p w14:paraId="4952E61D" w14:textId="77777777" w:rsidR="00AD2329" w:rsidRPr="003E7FD6" w:rsidRDefault="00AD2329" w:rsidP="00AD2329">
            <w:pPr>
              <w:jc w:val="center"/>
            </w:pPr>
            <w:r w:rsidRPr="003E7FD6">
              <w:t>±5.9</w:t>
            </w:r>
          </w:p>
        </w:tc>
      </w:tr>
      <w:tr w:rsidR="00AD2329" w:rsidRPr="003E7FD6" w14:paraId="0EC74F14" w14:textId="5392E825" w:rsidTr="00AD2329">
        <w:trPr>
          <w:trHeight w:val="300"/>
        </w:trPr>
        <w:tc>
          <w:tcPr>
            <w:tcW w:w="6475" w:type="dxa"/>
            <w:vAlign w:val="center"/>
            <w:hideMark/>
          </w:tcPr>
          <w:p w14:paraId="5FC47C5C" w14:textId="77777777" w:rsidR="00AD2329" w:rsidRPr="001F4C4A" w:rsidRDefault="00AD2329" w:rsidP="001F4C4A">
            <w:pPr>
              <w:ind w:left="720"/>
              <w:rPr>
                <w:i/>
                <w:iCs/>
              </w:rPr>
            </w:pPr>
            <w:r w:rsidRPr="001F4C4A">
              <w:rPr>
                <w:i/>
                <w:iCs/>
              </w:rPr>
              <w:t>$25,000 to $34,999</w:t>
            </w:r>
          </w:p>
        </w:tc>
        <w:tc>
          <w:tcPr>
            <w:tcW w:w="1440" w:type="dxa"/>
            <w:vAlign w:val="center"/>
            <w:hideMark/>
          </w:tcPr>
          <w:p w14:paraId="0FE3D1CE" w14:textId="77777777" w:rsidR="00AD2329" w:rsidRPr="003E7FD6" w:rsidRDefault="00AD2329" w:rsidP="003E7FD6">
            <w:pPr>
              <w:jc w:val="center"/>
            </w:pPr>
            <w:r w:rsidRPr="003E7FD6">
              <w:t>16.50%</w:t>
            </w:r>
          </w:p>
        </w:tc>
        <w:tc>
          <w:tcPr>
            <w:tcW w:w="1440" w:type="dxa"/>
            <w:vAlign w:val="center"/>
            <w:hideMark/>
          </w:tcPr>
          <w:p w14:paraId="31F49365" w14:textId="77777777" w:rsidR="00AD2329" w:rsidRPr="003E7FD6" w:rsidRDefault="00AD2329" w:rsidP="00AD2329">
            <w:pPr>
              <w:jc w:val="center"/>
            </w:pPr>
            <w:r w:rsidRPr="003E7FD6">
              <w:t>±4.7</w:t>
            </w:r>
          </w:p>
        </w:tc>
      </w:tr>
      <w:tr w:rsidR="00AD2329" w:rsidRPr="003E7FD6" w14:paraId="4DA29D11" w14:textId="56E5FA84" w:rsidTr="00AD2329">
        <w:trPr>
          <w:trHeight w:val="300"/>
        </w:trPr>
        <w:tc>
          <w:tcPr>
            <w:tcW w:w="6475" w:type="dxa"/>
            <w:vAlign w:val="center"/>
            <w:hideMark/>
          </w:tcPr>
          <w:p w14:paraId="0F316D63" w14:textId="77777777" w:rsidR="00AD2329" w:rsidRPr="001F4C4A" w:rsidRDefault="00AD2329" w:rsidP="001F4C4A">
            <w:pPr>
              <w:ind w:left="720"/>
              <w:rPr>
                <w:i/>
                <w:iCs/>
              </w:rPr>
            </w:pPr>
            <w:r w:rsidRPr="001F4C4A">
              <w:rPr>
                <w:i/>
                <w:iCs/>
              </w:rPr>
              <w:t>$35,000 to $49,999</w:t>
            </w:r>
          </w:p>
        </w:tc>
        <w:tc>
          <w:tcPr>
            <w:tcW w:w="1440" w:type="dxa"/>
            <w:vAlign w:val="center"/>
            <w:hideMark/>
          </w:tcPr>
          <w:p w14:paraId="763E2E80" w14:textId="77777777" w:rsidR="00AD2329" w:rsidRPr="003E7FD6" w:rsidRDefault="00AD2329" w:rsidP="003E7FD6">
            <w:pPr>
              <w:jc w:val="center"/>
            </w:pPr>
            <w:r w:rsidRPr="003E7FD6">
              <w:t>8.70%</w:t>
            </w:r>
          </w:p>
        </w:tc>
        <w:tc>
          <w:tcPr>
            <w:tcW w:w="1440" w:type="dxa"/>
            <w:vAlign w:val="center"/>
            <w:hideMark/>
          </w:tcPr>
          <w:p w14:paraId="4A8AE5E7" w14:textId="77777777" w:rsidR="00AD2329" w:rsidRPr="003E7FD6" w:rsidRDefault="00AD2329" w:rsidP="00AD2329">
            <w:pPr>
              <w:jc w:val="center"/>
            </w:pPr>
            <w:r w:rsidRPr="003E7FD6">
              <w:t>±3.9</w:t>
            </w:r>
          </w:p>
        </w:tc>
      </w:tr>
      <w:tr w:rsidR="00AD2329" w:rsidRPr="003E7FD6" w14:paraId="1345C564" w14:textId="5C2B1515" w:rsidTr="00AD2329">
        <w:trPr>
          <w:trHeight w:val="300"/>
        </w:trPr>
        <w:tc>
          <w:tcPr>
            <w:tcW w:w="6475" w:type="dxa"/>
            <w:vAlign w:val="center"/>
            <w:hideMark/>
          </w:tcPr>
          <w:p w14:paraId="72708052" w14:textId="77777777" w:rsidR="00AD2329" w:rsidRPr="001F4C4A" w:rsidRDefault="00AD2329" w:rsidP="001F4C4A">
            <w:pPr>
              <w:ind w:left="720"/>
              <w:rPr>
                <w:i/>
                <w:iCs/>
              </w:rPr>
            </w:pPr>
            <w:r w:rsidRPr="001F4C4A">
              <w:rPr>
                <w:i/>
                <w:iCs/>
              </w:rPr>
              <w:t>$50,000 to $64,999</w:t>
            </w:r>
          </w:p>
        </w:tc>
        <w:tc>
          <w:tcPr>
            <w:tcW w:w="1440" w:type="dxa"/>
            <w:vAlign w:val="center"/>
            <w:hideMark/>
          </w:tcPr>
          <w:p w14:paraId="60F7C040" w14:textId="77777777" w:rsidR="00AD2329" w:rsidRPr="003E7FD6" w:rsidRDefault="00AD2329" w:rsidP="003E7FD6">
            <w:pPr>
              <w:jc w:val="center"/>
            </w:pPr>
            <w:r w:rsidRPr="003E7FD6">
              <w:t>13.70%</w:t>
            </w:r>
          </w:p>
        </w:tc>
        <w:tc>
          <w:tcPr>
            <w:tcW w:w="1440" w:type="dxa"/>
            <w:vAlign w:val="center"/>
            <w:hideMark/>
          </w:tcPr>
          <w:p w14:paraId="1B9737D6" w14:textId="77777777" w:rsidR="00AD2329" w:rsidRPr="003E7FD6" w:rsidRDefault="00AD2329" w:rsidP="00AD2329">
            <w:pPr>
              <w:jc w:val="center"/>
            </w:pPr>
            <w:r w:rsidRPr="003E7FD6">
              <w:t>±12.1</w:t>
            </w:r>
          </w:p>
        </w:tc>
      </w:tr>
      <w:tr w:rsidR="00AD2329" w:rsidRPr="003E7FD6" w14:paraId="18FC909F" w14:textId="2AF9C0C7" w:rsidTr="00AD2329">
        <w:trPr>
          <w:trHeight w:val="300"/>
        </w:trPr>
        <w:tc>
          <w:tcPr>
            <w:tcW w:w="6475" w:type="dxa"/>
            <w:vAlign w:val="center"/>
            <w:hideMark/>
          </w:tcPr>
          <w:p w14:paraId="76B24D17" w14:textId="77777777" w:rsidR="00AD2329" w:rsidRPr="001F4C4A" w:rsidRDefault="00AD2329" w:rsidP="001F4C4A">
            <w:pPr>
              <w:ind w:left="720"/>
              <w:rPr>
                <w:i/>
                <w:iCs/>
              </w:rPr>
            </w:pPr>
            <w:r w:rsidRPr="001F4C4A">
              <w:rPr>
                <w:i/>
                <w:iCs/>
              </w:rPr>
              <w:t>$65,000 to $74,999</w:t>
            </w:r>
          </w:p>
        </w:tc>
        <w:tc>
          <w:tcPr>
            <w:tcW w:w="1440" w:type="dxa"/>
            <w:vAlign w:val="center"/>
            <w:hideMark/>
          </w:tcPr>
          <w:p w14:paraId="31445B4D" w14:textId="77777777" w:rsidR="00AD2329" w:rsidRPr="003E7FD6" w:rsidRDefault="00AD2329" w:rsidP="003E7FD6">
            <w:pPr>
              <w:jc w:val="center"/>
            </w:pPr>
            <w:r w:rsidRPr="003E7FD6">
              <w:t>3.10%</w:t>
            </w:r>
          </w:p>
        </w:tc>
        <w:tc>
          <w:tcPr>
            <w:tcW w:w="1440" w:type="dxa"/>
            <w:vAlign w:val="center"/>
            <w:hideMark/>
          </w:tcPr>
          <w:p w14:paraId="266F5AD6" w14:textId="77777777" w:rsidR="00AD2329" w:rsidRPr="003E7FD6" w:rsidRDefault="00AD2329" w:rsidP="00AD2329">
            <w:pPr>
              <w:jc w:val="center"/>
            </w:pPr>
            <w:r w:rsidRPr="003E7FD6">
              <w:t>±1.8</w:t>
            </w:r>
          </w:p>
        </w:tc>
      </w:tr>
      <w:tr w:rsidR="00AD2329" w:rsidRPr="003E7FD6" w14:paraId="24665D82" w14:textId="302BA370" w:rsidTr="00AD2329">
        <w:trPr>
          <w:trHeight w:val="300"/>
        </w:trPr>
        <w:tc>
          <w:tcPr>
            <w:tcW w:w="6475" w:type="dxa"/>
            <w:vAlign w:val="center"/>
            <w:hideMark/>
          </w:tcPr>
          <w:p w14:paraId="2C44E52D" w14:textId="77777777" w:rsidR="00AD2329" w:rsidRPr="001F4C4A" w:rsidRDefault="00AD2329" w:rsidP="001F4C4A">
            <w:pPr>
              <w:ind w:left="720"/>
              <w:rPr>
                <w:i/>
                <w:iCs/>
              </w:rPr>
            </w:pPr>
            <w:r w:rsidRPr="001F4C4A">
              <w:rPr>
                <w:i/>
                <w:iCs/>
              </w:rPr>
              <w:t>$75,000 or more</w:t>
            </w:r>
          </w:p>
        </w:tc>
        <w:tc>
          <w:tcPr>
            <w:tcW w:w="1440" w:type="dxa"/>
            <w:vAlign w:val="center"/>
            <w:hideMark/>
          </w:tcPr>
          <w:p w14:paraId="6A18B8C6" w14:textId="77777777" w:rsidR="00AD2329" w:rsidRPr="003E7FD6" w:rsidRDefault="00AD2329" w:rsidP="003E7FD6">
            <w:pPr>
              <w:jc w:val="center"/>
            </w:pPr>
            <w:r w:rsidRPr="003E7FD6">
              <w:t>31.40%</w:t>
            </w:r>
          </w:p>
        </w:tc>
        <w:tc>
          <w:tcPr>
            <w:tcW w:w="1440" w:type="dxa"/>
            <w:vAlign w:val="center"/>
            <w:hideMark/>
          </w:tcPr>
          <w:p w14:paraId="5175846E" w14:textId="77777777" w:rsidR="00AD2329" w:rsidRPr="003E7FD6" w:rsidRDefault="00AD2329" w:rsidP="00AD2329">
            <w:pPr>
              <w:jc w:val="center"/>
            </w:pPr>
            <w:r w:rsidRPr="003E7FD6">
              <w:t>±14.0</w:t>
            </w:r>
          </w:p>
        </w:tc>
      </w:tr>
      <w:tr w:rsidR="00AD2329" w:rsidRPr="003E7FD6" w14:paraId="26E54C1C" w14:textId="009F2C53" w:rsidTr="00AD2329">
        <w:trPr>
          <w:trHeight w:val="300"/>
        </w:trPr>
        <w:tc>
          <w:tcPr>
            <w:tcW w:w="6475" w:type="dxa"/>
            <w:vAlign w:val="center"/>
            <w:hideMark/>
          </w:tcPr>
          <w:p w14:paraId="061E0D23" w14:textId="77777777" w:rsidR="00AD2329" w:rsidRPr="003E7FD6" w:rsidRDefault="00AD2329" w:rsidP="003E7FD6">
            <w:r w:rsidRPr="003E7FD6">
              <w:t>Median income (dollars)</w:t>
            </w:r>
          </w:p>
        </w:tc>
        <w:tc>
          <w:tcPr>
            <w:tcW w:w="1440" w:type="dxa"/>
            <w:vAlign w:val="center"/>
            <w:hideMark/>
          </w:tcPr>
          <w:p w14:paraId="49EAA113" w14:textId="3C27290E" w:rsidR="00AD2329" w:rsidRPr="003E7FD6" w:rsidRDefault="00B81A00" w:rsidP="003E7FD6">
            <w:pPr>
              <w:jc w:val="center"/>
            </w:pPr>
            <w:r>
              <w:t>$</w:t>
            </w:r>
            <w:r w:rsidR="00AD2329" w:rsidRPr="003E7FD6">
              <w:t>47,344</w:t>
            </w:r>
          </w:p>
        </w:tc>
        <w:tc>
          <w:tcPr>
            <w:tcW w:w="1440" w:type="dxa"/>
            <w:vAlign w:val="center"/>
            <w:hideMark/>
          </w:tcPr>
          <w:p w14:paraId="493239EE" w14:textId="75911E4B" w:rsidR="00AD2329" w:rsidRPr="003E7FD6" w:rsidRDefault="00AD2329" w:rsidP="00AD2329">
            <w:pPr>
              <w:jc w:val="center"/>
            </w:pPr>
            <w:r w:rsidRPr="003E7FD6">
              <w:t>±24,408</w:t>
            </w:r>
          </w:p>
        </w:tc>
      </w:tr>
      <w:tr w:rsidR="00AD2329" w:rsidRPr="003E7FD6" w14:paraId="0B077FEF" w14:textId="01C3429E" w:rsidTr="00AD2329">
        <w:trPr>
          <w:trHeight w:val="300"/>
        </w:trPr>
        <w:tc>
          <w:tcPr>
            <w:tcW w:w="6475" w:type="dxa"/>
            <w:tcBorders>
              <w:top w:val="nil"/>
              <w:left w:val="nil"/>
              <w:bottom w:val="single" w:sz="4" w:space="0" w:color="808080" w:themeColor="background1" w:themeShade="80"/>
              <w:right w:val="nil"/>
            </w:tcBorders>
          </w:tcPr>
          <w:p w14:paraId="3FAD4265" w14:textId="77777777" w:rsidR="00AD2329" w:rsidRPr="003E7FD6" w:rsidRDefault="00AD2329" w:rsidP="003E7FD6">
            <w:pPr>
              <w:rPr>
                <w:b/>
                <w:bCs/>
              </w:rPr>
            </w:pPr>
          </w:p>
        </w:tc>
        <w:tc>
          <w:tcPr>
            <w:tcW w:w="1440" w:type="dxa"/>
            <w:tcBorders>
              <w:top w:val="nil"/>
              <w:left w:val="nil"/>
              <w:bottom w:val="single" w:sz="4" w:space="0" w:color="808080" w:themeColor="background1" w:themeShade="80"/>
              <w:right w:val="nil"/>
            </w:tcBorders>
          </w:tcPr>
          <w:p w14:paraId="74D8F0E8" w14:textId="77777777" w:rsidR="00AD2329" w:rsidRPr="003E7FD6" w:rsidRDefault="00AD2329" w:rsidP="003E7FD6">
            <w:pPr>
              <w:jc w:val="center"/>
              <w:rPr>
                <w:b/>
                <w:bCs/>
              </w:rPr>
            </w:pPr>
          </w:p>
        </w:tc>
        <w:tc>
          <w:tcPr>
            <w:tcW w:w="1440" w:type="dxa"/>
            <w:tcBorders>
              <w:top w:val="nil"/>
              <w:left w:val="nil"/>
              <w:bottom w:val="single" w:sz="4" w:space="0" w:color="808080" w:themeColor="background1" w:themeShade="80"/>
              <w:right w:val="nil"/>
            </w:tcBorders>
          </w:tcPr>
          <w:p w14:paraId="419EFAC7" w14:textId="77777777" w:rsidR="00AD2329" w:rsidRPr="003E7FD6" w:rsidRDefault="00AD2329" w:rsidP="003E7FD6">
            <w:pPr>
              <w:jc w:val="center"/>
              <w:rPr>
                <w:b/>
                <w:bCs/>
              </w:rPr>
            </w:pPr>
          </w:p>
        </w:tc>
      </w:tr>
      <w:tr w:rsidR="0064497E" w:rsidRPr="003E7FD6" w14:paraId="06F7A94A" w14:textId="77777777" w:rsidTr="00AD2329">
        <w:trPr>
          <w:trHeight w:val="300"/>
        </w:trPr>
        <w:tc>
          <w:tcPr>
            <w:tcW w:w="6475" w:type="dxa"/>
            <w:tcBorders>
              <w:top w:val="nil"/>
              <w:left w:val="nil"/>
              <w:bottom w:val="single" w:sz="4" w:space="0" w:color="808080" w:themeColor="background1" w:themeShade="80"/>
              <w:right w:val="nil"/>
            </w:tcBorders>
          </w:tcPr>
          <w:p w14:paraId="538FEC88" w14:textId="77777777" w:rsidR="0064497E" w:rsidRPr="003E7FD6" w:rsidRDefault="0064497E" w:rsidP="003E7FD6">
            <w:pPr>
              <w:rPr>
                <w:b/>
                <w:bCs/>
              </w:rPr>
            </w:pPr>
          </w:p>
        </w:tc>
        <w:tc>
          <w:tcPr>
            <w:tcW w:w="1440" w:type="dxa"/>
            <w:tcBorders>
              <w:top w:val="nil"/>
              <w:left w:val="nil"/>
              <w:bottom w:val="single" w:sz="4" w:space="0" w:color="808080" w:themeColor="background1" w:themeShade="80"/>
              <w:right w:val="nil"/>
            </w:tcBorders>
          </w:tcPr>
          <w:p w14:paraId="53720C86" w14:textId="77777777" w:rsidR="0064497E" w:rsidRPr="003E7FD6" w:rsidRDefault="0064497E" w:rsidP="003E7FD6">
            <w:pPr>
              <w:jc w:val="center"/>
              <w:rPr>
                <w:b/>
                <w:bCs/>
              </w:rPr>
            </w:pPr>
          </w:p>
        </w:tc>
        <w:tc>
          <w:tcPr>
            <w:tcW w:w="1440" w:type="dxa"/>
            <w:tcBorders>
              <w:top w:val="nil"/>
              <w:left w:val="nil"/>
              <w:bottom w:val="single" w:sz="4" w:space="0" w:color="808080" w:themeColor="background1" w:themeShade="80"/>
              <w:right w:val="nil"/>
            </w:tcBorders>
          </w:tcPr>
          <w:p w14:paraId="595758D4" w14:textId="77777777" w:rsidR="0064497E" w:rsidRPr="003E7FD6" w:rsidRDefault="0064497E" w:rsidP="003E7FD6">
            <w:pPr>
              <w:jc w:val="center"/>
              <w:rPr>
                <w:b/>
                <w:bCs/>
              </w:rPr>
            </w:pPr>
          </w:p>
        </w:tc>
      </w:tr>
      <w:tr w:rsidR="00AD2329" w:rsidRPr="003E7FD6" w14:paraId="23593B42" w14:textId="2294B8BF" w:rsidTr="00AD2329">
        <w:trPr>
          <w:trHeight w:val="600"/>
        </w:trPr>
        <w:tc>
          <w:tcPr>
            <w:tcW w:w="9355" w:type="dxa"/>
            <w:gridSpan w:val="3"/>
            <w:tcBorders>
              <w:top w:val="single" w:sz="4" w:space="0" w:color="808080" w:themeColor="background1" w:themeShade="80"/>
            </w:tcBorders>
            <w:vAlign w:val="center"/>
            <w:hideMark/>
          </w:tcPr>
          <w:p w14:paraId="3FB52500" w14:textId="516FAD83" w:rsidR="00AD2329" w:rsidRPr="003E7FD6" w:rsidRDefault="00AD2329" w:rsidP="003E7FD6">
            <w:pPr>
              <w:rPr>
                <w:b/>
                <w:bCs/>
              </w:rPr>
            </w:pPr>
            <w:r w:rsidRPr="003E7FD6">
              <w:rPr>
                <w:b/>
                <w:bCs/>
              </w:rPr>
              <w:t>POVERTY STATUS IN THE PAST 12 MONTHS</w:t>
            </w:r>
          </w:p>
        </w:tc>
      </w:tr>
      <w:tr w:rsidR="00AD2329" w:rsidRPr="003E7FD6" w14:paraId="7507EC79" w14:textId="5755024F" w:rsidTr="00AD2329">
        <w:trPr>
          <w:trHeight w:val="600"/>
        </w:trPr>
        <w:tc>
          <w:tcPr>
            <w:tcW w:w="6475" w:type="dxa"/>
            <w:vAlign w:val="center"/>
            <w:hideMark/>
          </w:tcPr>
          <w:p w14:paraId="314306AE" w14:textId="77777777" w:rsidR="00AD2329" w:rsidRPr="001F4C4A" w:rsidRDefault="00AD2329" w:rsidP="003E7FD6">
            <w:r w:rsidRPr="001F4C4A">
              <w:t>Population for whom poverty status is determined</w:t>
            </w:r>
          </w:p>
        </w:tc>
        <w:tc>
          <w:tcPr>
            <w:tcW w:w="1440" w:type="dxa"/>
            <w:vAlign w:val="center"/>
            <w:hideMark/>
          </w:tcPr>
          <w:p w14:paraId="7364016C" w14:textId="77777777" w:rsidR="00AD2329" w:rsidRPr="00AD2329" w:rsidRDefault="00AD2329" w:rsidP="003E7FD6">
            <w:pPr>
              <w:jc w:val="center"/>
            </w:pPr>
            <w:r w:rsidRPr="00AD2329">
              <w:t>554</w:t>
            </w:r>
          </w:p>
        </w:tc>
        <w:tc>
          <w:tcPr>
            <w:tcW w:w="1440" w:type="dxa"/>
            <w:vAlign w:val="center"/>
            <w:hideMark/>
          </w:tcPr>
          <w:p w14:paraId="5E977F9F" w14:textId="77777777" w:rsidR="00AD2329" w:rsidRPr="00AD2329" w:rsidRDefault="00AD2329" w:rsidP="003E7FD6">
            <w:pPr>
              <w:jc w:val="center"/>
            </w:pPr>
            <w:r w:rsidRPr="00AD2329">
              <w:t>±149</w:t>
            </w:r>
          </w:p>
        </w:tc>
      </w:tr>
      <w:tr w:rsidR="00AD2329" w:rsidRPr="003E7FD6" w14:paraId="1F295B79" w14:textId="6F63A273" w:rsidTr="00AD2329">
        <w:trPr>
          <w:trHeight w:val="600"/>
        </w:trPr>
        <w:tc>
          <w:tcPr>
            <w:tcW w:w="6475" w:type="dxa"/>
            <w:vAlign w:val="center"/>
            <w:hideMark/>
          </w:tcPr>
          <w:p w14:paraId="4C07C582" w14:textId="77777777" w:rsidR="00AD2329" w:rsidRPr="001F4C4A" w:rsidRDefault="00AD2329" w:rsidP="003E7FD6">
            <w:r w:rsidRPr="001F4C4A">
              <w:t>Below 100 percent of the poverty level</w:t>
            </w:r>
          </w:p>
        </w:tc>
        <w:tc>
          <w:tcPr>
            <w:tcW w:w="1440" w:type="dxa"/>
            <w:vAlign w:val="center"/>
            <w:hideMark/>
          </w:tcPr>
          <w:p w14:paraId="6130E743" w14:textId="77777777" w:rsidR="00AD2329" w:rsidRPr="00AD2329" w:rsidRDefault="00AD2329" w:rsidP="003E7FD6">
            <w:pPr>
              <w:jc w:val="center"/>
            </w:pPr>
            <w:r w:rsidRPr="00AD2329">
              <w:t>2.50%</w:t>
            </w:r>
          </w:p>
        </w:tc>
        <w:tc>
          <w:tcPr>
            <w:tcW w:w="1440" w:type="dxa"/>
            <w:vAlign w:val="center"/>
            <w:hideMark/>
          </w:tcPr>
          <w:p w14:paraId="2C24E9C8" w14:textId="77777777" w:rsidR="00AD2329" w:rsidRPr="00AD2329" w:rsidRDefault="00AD2329" w:rsidP="003E7FD6">
            <w:pPr>
              <w:jc w:val="center"/>
            </w:pPr>
            <w:r w:rsidRPr="00AD2329">
              <w:t>±2.0</w:t>
            </w:r>
          </w:p>
        </w:tc>
      </w:tr>
      <w:tr w:rsidR="00AD2329" w:rsidRPr="003E7FD6" w14:paraId="28A85287" w14:textId="510C6F3A" w:rsidTr="00AD2329">
        <w:trPr>
          <w:trHeight w:val="600"/>
        </w:trPr>
        <w:tc>
          <w:tcPr>
            <w:tcW w:w="6475" w:type="dxa"/>
            <w:vAlign w:val="center"/>
            <w:hideMark/>
          </w:tcPr>
          <w:p w14:paraId="10A7052E" w14:textId="77777777" w:rsidR="00AD2329" w:rsidRPr="001F4C4A" w:rsidRDefault="00AD2329" w:rsidP="003E7FD6">
            <w:r w:rsidRPr="001F4C4A">
              <w:t>100 to 149 percent of the poverty level</w:t>
            </w:r>
          </w:p>
        </w:tc>
        <w:tc>
          <w:tcPr>
            <w:tcW w:w="1440" w:type="dxa"/>
            <w:vAlign w:val="center"/>
            <w:hideMark/>
          </w:tcPr>
          <w:p w14:paraId="727E6F7A" w14:textId="77777777" w:rsidR="00AD2329" w:rsidRPr="00AD2329" w:rsidRDefault="00AD2329" w:rsidP="003E7FD6">
            <w:pPr>
              <w:jc w:val="center"/>
            </w:pPr>
            <w:r w:rsidRPr="00AD2329">
              <w:t>4.20%</w:t>
            </w:r>
          </w:p>
        </w:tc>
        <w:tc>
          <w:tcPr>
            <w:tcW w:w="1440" w:type="dxa"/>
            <w:vAlign w:val="center"/>
            <w:hideMark/>
          </w:tcPr>
          <w:p w14:paraId="77879D3E" w14:textId="77777777" w:rsidR="00AD2329" w:rsidRPr="00AD2329" w:rsidRDefault="00AD2329" w:rsidP="003E7FD6">
            <w:pPr>
              <w:jc w:val="center"/>
            </w:pPr>
            <w:r w:rsidRPr="00AD2329">
              <w:t>±3.2</w:t>
            </w:r>
          </w:p>
        </w:tc>
      </w:tr>
      <w:tr w:rsidR="00AD2329" w:rsidRPr="003E7FD6" w14:paraId="68EF59D9" w14:textId="47295A53" w:rsidTr="00AD2329">
        <w:trPr>
          <w:trHeight w:val="600"/>
        </w:trPr>
        <w:tc>
          <w:tcPr>
            <w:tcW w:w="6475" w:type="dxa"/>
            <w:vAlign w:val="center"/>
            <w:hideMark/>
          </w:tcPr>
          <w:p w14:paraId="5C72DA63" w14:textId="77777777" w:rsidR="00AD2329" w:rsidRPr="001F4C4A" w:rsidRDefault="00AD2329" w:rsidP="003E7FD6">
            <w:r w:rsidRPr="001F4C4A">
              <w:t>At or above 150 percent of the poverty level</w:t>
            </w:r>
          </w:p>
        </w:tc>
        <w:tc>
          <w:tcPr>
            <w:tcW w:w="1440" w:type="dxa"/>
            <w:vAlign w:val="center"/>
            <w:hideMark/>
          </w:tcPr>
          <w:p w14:paraId="3D30DD89" w14:textId="77777777" w:rsidR="00AD2329" w:rsidRPr="00AD2329" w:rsidRDefault="00AD2329" w:rsidP="003E7FD6">
            <w:pPr>
              <w:jc w:val="center"/>
            </w:pPr>
            <w:r w:rsidRPr="00AD2329">
              <w:t>93.30%</w:t>
            </w:r>
          </w:p>
        </w:tc>
        <w:tc>
          <w:tcPr>
            <w:tcW w:w="1440" w:type="dxa"/>
            <w:vAlign w:val="center"/>
            <w:hideMark/>
          </w:tcPr>
          <w:p w14:paraId="16AF94E2" w14:textId="77777777" w:rsidR="00AD2329" w:rsidRPr="00AD2329" w:rsidRDefault="00AD2329" w:rsidP="003E7FD6">
            <w:pPr>
              <w:jc w:val="center"/>
            </w:pPr>
            <w:r w:rsidRPr="00AD2329">
              <w:t>±4.0</w:t>
            </w:r>
          </w:p>
        </w:tc>
      </w:tr>
    </w:tbl>
    <w:p w14:paraId="78888CE2" w14:textId="77777777" w:rsidR="00D2329F" w:rsidRDefault="00D2329F" w:rsidP="002E704A">
      <w:pPr>
        <w:rPr>
          <w:b/>
          <w:bCs/>
        </w:rPr>
      </w:pPr>
    </w:p>
    <w:tbl>
      <w:tblPr>
        <w:tblStyle w:val="TableGrid"/>
        <w:tblW w:w="0" w:type="auto"/>
        <w:tblLook w:val="04A0" w:firstRow="1" w:lastRow="0" w:firstColumn="1" w:lastColumn="0" w:noHBand="0" w:noVBand="1"/>
      </w:tblPr>
      <w:tblGrid>
        <w:gridCol w:w="2960"/>
        <w:gridCol w:w="2345"/>
        <w:gridCol w:w="1980"/>
        <w:gridCol w:w="1980"/>
      </w:tblGrid>
      <w:tr w:rsidR="00AD2329" w:rsidRPr="00AD2329" w14:paraId="060590ED" w14:textId="77777777" w:rsidTr="002572A4">
        <w:trPr>
          <w:trHeight w:val="989"/>
        </w:trPr>
        <w:tc>
          <w:tcPr>
            <w:tcW w:w="9265" w:type="dxa"/>
            <w:gridSpan w:val="4"/>
            <w:noWrap/>
          </w:tcPr>
          <w:p w14:paraId="1AAD2DE6" w14:textId="023F821B" w:rsidR="00AD2329" w:rsidRPr="002572A4" w:rsidRDefault="00DE673C">
            <w:pPr>
              <w:rPr>
                <w:b/>
                <w:bCs/>
                <w:sz w:val="28"/>
                <w:szCs w:val="28"/>
              </w:rPr>
            </w:pPr>
            <w:r>
              <w:rPr>
                <w:b/>
                <w:bCs/>
                <w:sz w:val="28"/>
                <w:szCs w:val="28"/>
              </w:rPr>
              <w:t xml:space="preserve">Comparative </w:t>
            </w:r>
            <w:r w:rsidR="00E45B17">
              <w:rPr>
                <w:b/>
                <w:bCs/>
                <w:sz w:val="28"/>
                <w:szCs w:val="28"/>
              </w:rPr>
              <w:t xml:space="preserve">Household </w:t>
            </w:r>
            <w:r w:rsidR="00AD2329" w:rsidRPr="002572A4">
              <w:rPr>
                <w:b/>
                <w:bCs/>
                <w:sz w:val="28"/>
                <w:szCs w:val="28"/>
              </w:rPr>
              <w:t>Income in the Past 12 Months in 2022 Inflation-Adjusted Dollars</w:t>
            </w:r>
            <w:r>
              <w:rPr>
                <w:b/>
                <w:bCs/>
                <w:sz w:val="28"/>
                <w:szCs w:val="28"/>
              </w:rPr>
              <w:t xml:space="preserve"> </w:t>
            </w:r>
          </w:p>
          <w:p w14:paraId="326C765D" w14:textId="2E0B8416" w:rsidR="00AD2329" w:rsidRPr="00AD2329" w:rsidRDefault="00AD2329">
            <w:r w:rsidRPr="009A6EF5">
              <w:rPr>
                <w:i/>
                <w:iCs/>
              </w:rPr>
              <w:t xml:space="preserve">Source: U.S. Census Bureau. "Income in the Past 12 Months in 2022 Inflation-Adjusted Dollars." </w:t>
            </w:r>
            <w:r w:rsidRPr="003E7FD6">
              <w:rPr>
                <w:i/>
                <w:iCs/>
              </w:rPr>
              <w:t>American Community Survey, ACS 5-Year Estimates Subject Tables, Table S</w:t>
            </w:r>
            <w:r>
              <w:rPr>
                <w:i/>
                <w:iCs/>
              </w:rPr>
              <w:t>1901</w:t>
            </w:r>
            <w:r w:rsidRPr="003E7FD6">
              <w:rPr>
                <w:i/>
                <w:iCs/>
              </w:rPr>
              <w:t>, 2022</w:t>
            </w:r>
          </w:p>
        </w:tc>
      </w:tr>
      <w:tr w:rsidR="002572A4" w:rsidRPr="00AD2329" w14:paraId="7F7D1384" w14:textId="77777777" w:rsidTr="00047567">
        <w:trPr>
          <w:trHeight w:val="288"/>
        </w:trPr>
        <w:tc>
          <w:tcPr>
            <w:tcW w:w="9265" w:type="dxa"/>
            <w:gridSpan w:val="4"/>
            <w:noWrap/>
          </w:tcPr>
          <w:p w14:paraId="393D4B43" w14:textId="77777777" w:rsidR="002572A4" w:rsidRPr="00AD2329" w:rsidRDefault="002572A4"/>
        </w:tc>
      </w:tr>
      <w:tr w:rsidR="00037035" w:rsidRPr="00AD2329" w14:paraId="5CB9040A" w14:textId="77777777" w:rsidTr="002572A4">
        <w:trPr>
          <w:trHeight w:val="288"/>
        </w:trPr>
        <w:tc>
          <w:tcPr>
            <w:tcW w:w="2960" w:type="dxa"/>
            <w:noWrap/>
            <w:hideMark/>
          </w:tcPr>
          <w:p w14:paraId="605790DE" w14:textId="4DB9F30C" w:rsidR="00037035" w:rsidRPr="00AD2329" w:rsidRDefault="00037035"/>
        </w:tc>
        <w:tc>
          <w:tcPr>
            <w:tcW w:w="2345" w:type="dxa"/>
            <w:noWrap/>
            <w:hideMark/>
          </w:tcPr>
          <w:p w14:paraId="1A5D8F02" w14:textId="77777777" w:rsidR="00037035" w:rsidRPr="009A6EF5" w:rsidRDefault="00037035" w:rsidP="002572A4">
            <w:pPr>
              <w:jc w:val="center"/>
              <w:rPr>
                <w:b/>
                <w:bCs/>
              </w:rPr>
            </w:pPr>
            <w:r w:rsidRPr="009A6EF5">
              <w:rPr>
                <w:b/>
                <w:bCs/>
              </w:rPr>
              <w:t>Carrabassett Valley</w:t>
            </w:r>
          </w:p>
        </w:tc>
        <w:tc>
          <w:tcPr>
            <w:tcW w:w="1980" w:type="dxa"/>
            <w:noWrap/>
            <w:hideMark/>
          </w:tcPr>
          <w:p w14:paraId="12440AF5" w14:textId="77777777" w:rsidR="00037035" w:rsidRPr="009A6EF5" w:rsidRDefault="00037035" w:rsidP="002572A4">
            <w:pPr>
              <w:jc w:val="center"/>
              <w:rPr>
                <w:b/>
                <w:bCs/>
              </w:rPr>
            </w:pPr>
            <w:r w:rsidRPr="009A6EF5">
              <w:rPr>
                <w:b/>
                <w:bCs/>
              </w:rPr>
              <w:t>Franklin County</w:t>
            </w:r>
          </w:p>
        </w:tc>
        <w:tc>
          <w:tcPr>
            <w:tcW w:w="1980" w:type="dxa"/>
            <w:noWrap/>
            <w:hideMark/>
          </w:tcPr>
          <w:p w14:paraId="57651A91" w14:textId="77777777" w:rsidR="00037035" w:rsidRPr="009A6EF5" w:rsidRDefault="00037035" w:rsidP="002572A4">
            <w:pPr>
              <w:jc w:val="center"/>
              <w:rPr>
                <w:b/>
                <w:bCs/>
              </w:rPr>
            </w:pPr>
            <w:r w:rsidRPr="009A6EF5">
              <w:rPr>
                <w:b/>
                <w:bCs/>
              </w:rPr>
              <w:t>Maine</w:t>
            </w:r>
          </w:p>
        </w:tc>
      </w:tr>
      <w:tr w:rsidR="00037035" w:rsidRPr="00AD2329" w14:paraId="31FC2D2B" w14:textId="77777777" w:rsidTr="002572A4">
        <w:trPr>
          <w:trHeight w:val="288"/>
        </w:trPr>
        <w:tc>
          <w:tcPr>
            <w:tcW w:w="2960" w:type="dxa"/>
            <w:noWrap/>
            <w:hideMark/>
          </w:tcPr>
          <w:p w14:paraId="40DCEBE5" w14:textId="77777777" w:rsidR="00037035" w:rsidRPr="00AD2329" w:rsidRDefault="00037035">
            <w:r w:rsidRPr="00AD2329">
              <w:t>Median Household Income</w:t>
            </w:r>
          </w:p>
        </w:tc>
        <w:tc>
          <w:tcPr>
            <w:tcW w:w="2345" w:type="dxa"/>
            <w:noWrap/>
            <w:hideMark/>
          </w:tcPr>
          <w:p w14:paraId="7652781F" w14:textId="2C8F9B23" w:rsidR="00037035" w:rsidRPr="002572A4" w:rsidRDefault="002572A4" w:rsidP="002572A4">
            <w:pPr>
              <w:jc w:val="center"/>
            </w:pPr>
            <w:r w:rsidRPr="002572A4">
              <w:t>66,750</w:t>
            </w:r>
          </w:p>
        </w:tc>
        <w:tc>
          <w:tcPr>
            <w:tcW w:w="1980" w:type="dxa"/>
            <w:noWrap/>
            <w:hideMark/>
          </w:tcPr>
          <w:p w14:paraId="54D7257C" w14:textId="5BF8D570" w:rsidR="00037035" w:rsidRPr="00AD2329" w:rsidRDefault="009A6EF5" w:rsidP="002572A4">
            <w:pPr>
              <w:jc w:val="center"/>
            </w:pPr>
            <w:r>
              <w:t>56,890</w:t>
            </w:r>
          </w:p>
        </w:tc>
        <w:tc>
          <w:tcPr>
            <w:tcW w:w="1980" w:type="dxa"/>
            <w:noWrap/>
            <w:hideMark/>
          </w:tcPr>
          <w:p w14:paraId="5CC5F95C" w14:textId="2E5FD8C3" w:rsidR="00037035" w:rsidRPr="00AD2329" w:rsidRDefault="009A6EF5" w:rsidP="002572A4">
            <w:pPr>
              <w:jc w:val="center"/>
            </w:pPr>
            <w:r>
              <w:t>69,543</w:t>
            </w:r>
          </w:p>
        </w:tc>
      </w:tr>
    </w:tbl>
    <w:p w14:paraId="602BC25B" w14:textId="77777777" w:rsidR="00037035" w:rsidRDefault="00037035" w:rsidP="00037035">
      <w:pPr>
        <w:rPr>
          <w:b/>
          <w:bCs/>
        </w:rPr>
      </w:pPr>
    </w:p>
    <w:p w14:paraId="0DDAEFAF" w14:textId="62D5F380" w:rsidR="005A64E4" w:rsidRDefault="005A64E4">
      <w:pPr>
        <w:rPr>
          <w:b/>
          <w:bCs/>
        </w:rPr>
      </w:pPr>
    </w:p>
    <w:p w14:paraId="4BF9E889" w14:textId="06D8B48E" w:rsidR="00A02E51" w:rsidRDefault="0037617B">
      <w:r>
        <w:t>The American Community Survey 5-year estimates (2022) reports data on individuals’ income in the past 12 months in 2022 inflation-adjusted dollars</w:t>
      </w:r>
      <w:r w:rsidR="00B81A00">
        <w:t xml:space="preserve"> for the population 15 years and over</w:t>
      </w:r>
      <w:r w:rsidR="00D319DF">
        <w:t xml:space="preserve"> (576 persons)</w:t>
      </w:r>
      <w:r>
        <w:t xml:space="preserve">. According to these estimates, </w:t>
      </w:r>
      <w:r w:rsidR="00B81A00">
        <w:t>the median income in dollars</w:t>
      </w:r>
      <w:r w:rsidR="00E45B17">
        <w:t xml:space="preserve"> for individuals</w:t>
      </w:r>
      <w:r w:rsidR="00D319DF">
        <w:t xml:space="preserve"> in 2022 in Carrabassett Valley was </w:t>
      </w:r>
      <w:r>
        <w:t>approximately</w:t>
      </w:r>
      <w:r w:rsidR="00B81A00">
        <w:t xml:space="preserve"> $47,344, with</w:t>
      </w:r>
      <w:r w:rsidR="00361B3F">
        <w:t xml:space="preserve"> nearly half the population</w:t>
      </w:r>
      <w:r w:rsidR="00B81A00">
        <w:t xml:space="preserve"> </w:t>
      </w:r>
      <w:r w:rsidR="00361B3F">
        <w:t>earning over $50,000 and nearly half earning less than $50,000.</w:t>
      </w:r>
      <w:r w:rsidR="00D319DF">
        <w:t xml:space="preserve"> Of those earning less than $50,000, approximately 23% earned less than $30,000. For those whom poverty status is determined (554 persons), 2.5% of the population was below 100% of the poverty level, while 93.3% were at or above 150 percent of the poverty level. A small number of people (4.2%) were between 100 and 149 percent of the poverty level</w:t>
      </w:r>
      <w:r w:rsidR="00E45B17">
        <w:t>.</w:t>
      </w:r>
      <w:r w:rsidR="001E60F8">
        <w:t xml:space="preserve"> </w:t>
      </w:r>
      <w:r w:rsidR="00A02E51">
        <w:t>Compared to Franklin County</w:t>
      </w:r>
      <w:r w:rsidR="001E60F8">
        <w:t xml:space="preserve"> ($56,890)</w:t>
      </w:r>
      <w:r w:rsidR="00E45B17">
        <w:t xml:space="preserve">, the Town of Carrabassett Valley </w:t>
      </w:r>
      <w:r w:rsidR="001E60F8">
        <w:t>median household income is higher ($66,750) but less than the state of Maine median household income ($69,543).</w:t>
      </w:r>
    </w:p>
    <w:p w14:paraId="146080F8" w14:textId="5ABBDCA6" w:rsidR="00D319DF" w:rsidRDefault="00D319DF"/>
    <w:p w14:paraId="03758AFF" w14:textId="568DAE31" w:rsidR="005A64E4" w:rsidRDefault="005A64E4">
      <w:pPr>
        <w:rPr>
          <w:b/>
          <w:bCs/>
        </w:rPr>
      </w:pPr>
      <w:r>
        <w:rPr>
          <w:b/>
          <w:bCs/>
        </w:rPr>
        <w:br w:type="page"/>
      </w:r>
    </w:p>
    <w:p w14:paraId="5AF56379" w14:textId="77777777" w:rsidR="00037035" w:rsidRDefault="00037035" w:rsidP="00037035">
      <w:pPr>
        <w:rPr>
          <w:b/>
          <w:bCs/>
        </w:rPr>
      </w:pPr>
    </w:p>
    <w:p w14:paraId="1F73AD7E" w14:textId="366BC8E5" w:rsidR="00D2329F" w:rsidRPr="00E8656A" w:rsidRDefault="00360074" w:rsidP="00360074">
      <w:pPr>
        <w:rPr>
          <w:b/>
          <w:bCs/>
          <w:sz w:val="28"/>
          <w:szCs w:val="28"/>
        </w:rPr>
      </w:pPr>
      <w:r w:rsidRPr="00E8656A">
        <w:rPr>
          <w:b/>
          <w:bCs/>
          <w:sz w:val="28"/>
          <w:szCs w:val="28"/>
        </w:rPr>
        <w:t>LANGUAGE</w:t>
      </w:r>
    </w:p>
    <w:p w14:paraId="7FB858A3" w14:textId="77777777" w:rsidR="00B90DB9" w:rsidRDefault="00B90DB9" w:rsidP="00360074">
      <w:pPr>
        <w:rPr>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890"/>
        <w:gridCol w:w="2520"/>
      </w:tblGrid>
      <w:tr w:rsidR="00120966" w:rsidRPr="00120966" w14:paraId="39BC9961" w14:textId="77777777" w:rsidTr="00A54BAC">
        <w:trPr>
          <w:trHeight w:val="296"/>
        </w:trPr>
        <w:tc>
          <w:tcPr>
            <w:tcW w:w="9445" w:type="dxa"/>
            <w:gridSpan w:val="3"/>
            <w:shd w:val="clear" w:color="auto" w:fill="auto"/>
            <w:vAlign w:val="center"/>
            <w:hideMark/>
          </w:tcPr>
          <w:p w14:paraId="589726E9" w14:textId="0A320603" w:rsidR="00120966" w:rsidRPr="00120966" w:rsidRDefault="00120966" w:rsidP="00120966">
            <w:pPr>
              <w:rPr>
                <w:b/>
                <w:bCs/>
              </w:rPr>
            </w:pPr>
            <w:r w:rsidRPr="00120966">
              <w:rPr>
                <w:b/>
                <w:bCs/>
              </w:rPr>
              <w:t>LANGUAGE SPOKEN AT HOME AND ABILITY TO SPEAK ENGLISH</w:t>
            </w:r>
          </w:p>
        </w:tc>
      </w:tr>
      <w:tr w:rsidR="00120966" w:rsidRPr="00120966" w14:paraId="1A9F8870" w14:textId="77777777" w:rsidTr="00A54BAC">
        <w:trPr>
          <w:trHeight w:val="341"/>
        </w:trPr>
        <w:tc>
          <w:tcPr>
            <w:tcW w:w="5035" w:type="dxa"/>
            <w:shd w:val="clear" w:color="auto" w:fill="auto"/>
            <w:vAlign w:val="center"/>
          </w:tcPr>
          <w:p w14:paraId="412926C4" w14:textId="0C5F141F" w:rsidR="00120966" w:rsidRPr="00120966" w:rsidRDefault="00120966" w:rsidP="00120966">
            <w:pPr>
              <w:spacing w:line="240" w:lineRule="auto"/>
            </w:pPr>
            <w:r w:rsidRPr="00120966">
              <w:t>Population 5 years and over</w:t>
            </w:r>
          </w:p>
        </w:tc>
        <w:tc>
          <w:tcPr>
            <w:tcW w:w="1890" w:type="dxa"/>
            <w:shd w:val="clear" w:color="auto" w:fill="auto"/>
            <w:vAlign w:val="center"/>
          </w:tcPr>
          <w:p w14:paraId="62C10D42" w14:textId="77777777" w:rsidR="00120966" w:rsidRPr="00120966" w:rsidRDefault="00120966" w:rsidP="00120966">
            <w:pPr>
              <w:spacing w:line="240" w:lineRule="auto"/>
            </w:pPr>
          </w:p>
        </w:tc>
        <w:tc>
          <w:tcPr>
            <w:tcW w:w="2520" w:type="dxa"/>
            <w:shd w:val="clear" w:color="auto" w:fill="auto"/>
            <w:vAlign w:val="center"/>
          </w:tcPr>
          <w:p w14:paraId="232697F0" w14:textId="77777777" w:rsidR="00120966" w:rsidRPr="00120966" w:rsidRDefault="00120966" w:rsidP="00120966">
            <w:pPr>
              <w:spacing w:line="240" w:lineRule="auto"/>
            </w:pPr>
          </w:p>
        </w:tc>
      </w:tr>
      <w:tr w:rsidR="00120966" w:rsidRPr="00120966" w14:paraId="31852FE2" w14:textId="77777777" w:rsidTr="00A54BAC">
        <w:trPr>
          <w:trHeight w:val="260"/>
        </w:trPr>
        <w:tc>
          <w:tcPr>
            <w:tcW w:w="5035" w:type="dxa"/>
            <w:shd w:val="clear" w:color="auto" w:fill="auto"/>
            <w:vAlign w:val="center"/>
            <w:hideMark/>
          </w:tcPr>
          <w:p w14:paraId="1354E4D3" w14:textId="243C4421" w:rsidR="00120966" w:rsidRPr="00120966" w:rsidRDefault="00A54BAC" w:rsidP="00120966">
            <w:pPr>
              <w:spacing w:line="240" w:lineRule="auto"/>
            </w:pPr>
            <w:r>
              <w:t xml:space="preserve">         </w:t>
            </w:r>
            <w:r w:rsidR="00120966" w:rsidRPr="00120966">
              <w:t>Speak language other than English</w:t>
            </w:r>
          </w:p>
        </w:tc>
        <w:tc>
          <w:tcPr>
            <w:tcW w:w="1890" w:type="dxa"/>
            <w:shd w:val="clear" w:color="auto" w:fill="auto"/>
            <w:vAlign w:val="center"/>
            <w:hideMark/>
          </w:tcPr>
          <w:p w14:paraId="3ADB2A2D" w14:textId="77777777" w:rsidR="00120966" w:rsidRPr="00120966" w:rsidRDefault="00120966" w:rsidP="00A54BAC">
            <w:pPr>
              <w:spacing w:line="240" w:lineRule="auto"/>
              <w:jc w:val="center"/>
            </w:pPr>
            <w:r w:rsidRPr="00120966">
              <w:t>8.1%</w:t>
            </w:r>
          </w:p>
        </w:tc>
        <w:tc>
          <w:tcPr>
            <w:tcW w:w="2520" w:type="dxa"/>
            <w:shd w:val="clear" w:color="auto" w:fill="auto"/>
            <w:vAlign w:val="center"/>
            <w:hideMark/>
          </w:tcPr>
          <w:p w14:paraId="04EDCAAE" w14:textId="77777777" w:rsidR="00120966" w:rsidRPr="00120966" w:rsidRDefault="00120966" w:rsidP="00A54BAC">
            <w:pPr>
              <w:spacing w:line="240" w:lineRule="auto"/>
              <w:jc w:val="center"/>
            </w:pPr>
            <w:r w:rsidRPr="00120966">
              <w:t>±6.2</w:t>
            </w:r>
          </w:p>
        </w:tc>
      </w:tr>
      <w:tr w:rsidR="00120966" w:rsidRPr="00120966" w14:paraId="0BBA19D0" w14:textId="77777777" w:rsidTr="00A54BAC">
        <w:trPr>
          <w:trHeight w:val="215"/>
        </w:trPr>
        <w:tc>
          <w:tcPr>
            <w:tcW w:w="5035" w:type="dxa"/>
            <w:shd w:val="clear" w:color="auto" w:fill="auto"/>
            <w:vAlign w:val="center"/>
            <w:hideMark/>
          </w:tcPr>
          <w:p w14:paraId="5D8AAD31" w14:textId="03C8D008" w:rsidR="00120966" w:rsidRPr="00120966" w:rsidRDefault="00A54BAC" w:rsidP="00120966">
            <w:pPr>
              <w:spacing w:line="240" w:lineRule="auto"/>
            </w:pPr>
            <w:r>
              <w:t xml:space="preserve">                   </w:t>
            </w:r>
            <w:r w:rsidR="00120966" w:rsidRPr="00120966">
              <w:t>Speak English "very well"</w:t>
            </w:r>
          </w:p>
        </w:tc>
        <w:tc>
          <w:tcPr>
            <w:tcW w:w="1890" w:type="dxa"/>
            <w:shd w:val="clear" w:color="auto" w:fill="auto"/>
            <w:vAlign w:val="center"/>
            <w:hideMark/>
          </w:tcPr>
          <w:p w14:paraId="2C232491" w14:textId="77777777" w:rsidR="00120966" w:rsidRPr="00120966" w:rsidRDefault="00120966" w:rsidP="00A54BAC">
            <w:pPr>
              <w:spacing w:line="240" w:lineRule="auto"/>
              <w:jc w:val="center"/>
            </w:pPr>
            <w:r w:rsidRPr="00120966">
              <w:t>3.4%</w:t>
            </w:r>
          </w:p>
        </w:tc>
        <w:tc>
          <w:tcPr>
            <w:tcW w:w="2520" w:type="dxa"/>
            <w:shd w:val="clear" w:color="auto" w:fill="auto"/>
            <w:vAlign w:val="center"/>
            <w:hideMark/>
          </w:tcPr>
          <w:p w14:paraId="5B3E9A80" w14:textId="77777777" w:rsidR="00120966" w:rsidRPr="00120966" w:rsidRDefault="00120966" w:rsidP="00A54BAC">
            <w:pPr>
              <w:spacing w:line="240" w:lineRule="auto"/>
              <w:jc w:val="center"/>
            </w:pPr>
            <w:r w:rsidRPr="00120966">
              <w:t>±2.5</w:t>
            </w:r>
          </w:p>
        </w:tc>
      </w:tr>
      <w:tr w:rsidR="00120966" w:rsidRPr="00120966" w14:paraId="0526E794" w14:textId="77777777" w:rsidTr="00A54BAC">
        <w:trPr>
          <w:trHeight w:val="404"/>
        </w:trPr>
        <w:tc>
          <w:tcPr>
            <w:tcW w:w="5035" w:type="dxa"/>
            <w:shd w:val="clear" w:color="auto" w:fill="auto"/>
            <w:vAlign w:val="center"/>
            <w:hideMark/>
          </w:tcPr>
          <w:p w14:paraId="7D7CF6F5" w14:textId="2AADFE80" w:rsidR="00120966" w:rsidRPr="00120966" w:rsidRDefault="00A54BAC" w:rsidP="00120966">
            <w:pPr>
              <w:spacing w:line="240" w:lineRule="auto"/>
            </w:pPr>
            <w:r>
              <w:t xml:space="preserve">                   </w:t>
            </w:r>
            <w:r w:rsidR="00120966" w:rsidRPr="00120966">
              <w:t>Speak English less than "very well"</w:t>
            </w:r>
          </w:p>
        </w:tc>
        <w:tc>
          <w:tcPr>
            <w:tcW w:w="1890" w:type="dxa"/>
            <w:shd w:val="clear" w:color="auto" w:fill="auto"/>
            <w:vAlign w:val="center"/>
            <w:hideMark/>
          </w:tcPr>
          <w:p w14:paraId="3E1B1043" w14:textId="77777777" w:rsidR="00120966" w:rsidRPr="00120966" w:rsidRDefault="00120966" w:rsidP="00A54BAC">
            <w:pPr>
              <w:spacing w:line="240" w:lineRule="auto"/>
              <w:jc w:val="center"/>
            </w:pPr>
            <w:r w:rsidRPr="00120966">
              <w:t>4.7%</w:t>
            </w:r>
          </w:p>
        </w:tc>
        <w:tc>
          <w:tcPr>
            <w:tcW w:w="2520" w:type="dxa"/>
            <w:shd w:val="clear" w:color="auto" w:fill="auto"/>
            <w:vAlign w:val="center"/>
            <w:hideMark/>
          </w:tcPr>
          <w:p w14:paraId="2F4BAC8A" w14:textId="77777777" w:rsidR="00120966" w:rsidRPr="00120966" w:rsidRDefault="00120966" w:rsidP="00A54BAC">
            <w:pPr>
              <w:spacing w:line="240" w:lineRule="auto"/>
              <w:jc w:val="center"/>
            </w:pPr>
            <w:r w:rsidRPr="00120966">
              <w:t>±5.7</w:t>
            </w:r>
          </w:p>
        </w:tc>
      </w:tr>
    </w:tbl>
    <w:p w14:paraId="47E08F76" w14:textId="7C68699B" w:rsidR="00120966" w:rsidRPr="00B90DB9" w:rsidRDefault="00B90DB9" w:rsidP="00B90DB9">
      <w:pPr>
        <w:spacing w:after="0" w:line="240" w:lineRule="auto"/>
        <w:rPr>
          <w:b/>
          <w:bCs/>
          <w:i/>
          <w:iCs/>
        </w:rPr>
      </w:pPr>
      <w:r w:rsidRPr="00B90DB9">
        <w:rPr>
          <w:rFonts w:ascii="Calibri" w:eastAsia="Times New Roman" w:hAnsi="Calibri" w:cs="Calibri"/>
          <w:i/>
          <w:iCs/>
          <w:color w:val="000000"/>
          <w:kern w:val="0"/>
          <w14:ligatures w14:val="none"/>
        </w:rPr>
        <w:t>U.S. Census Bureau. "Means of Transportation to Work by Selected Characteristics for Workplace Geography." American Community Survey, ACS 5-Year Estimates Subject Tables, Table S0804, 2022.</w:t>
      </w:r>
    </w:p>
    <w:p w14:paraId="7F533D88" w14:textId="77777777" w:rsidR="00B90DB9" w:rsidRDefault="00B90DB9" w:rsidP="00B941D8">
      <w:pPr>
        <w:rPr>
          <w:b/>
          <w:bCs/>
        </w:rPr>
      </w:pPr>
    </w:p>
    <w:p w14:paraId="5D627D1F" w14:textId="539EAF64" w:rsidR="00B90DB9" w:rsidRDefault="00B90DB9" w:rsidP="00B90DB9">
      <w:r>
        <w:t xml:space="preserve">There are a very small number of households in Carrabassett Valley for whom English is not their first language. According to the </w:t>
      </w:r>
      <w:r w:rsidRPr="00D2329F">
        <w:t>202</w:t>
      </w:r>
      <w:r>
        <w:t xml:space="preserve">2 </w:t>
      </w:r>
      <w:r w:rsidRPr="00D2329F">
        <w:t>American Community Survey</w:t>
      </w:r>
      <w:r>
        <w:t xml:space="preserve"> 5-year estimates, of the population 5 years old and older, 8.1% report that they speak a language other than English. Within that group, 3.4% say they speak English “very well” and 4.7% say they speak English less than “very well.” This is not defined in the survey and self-assessed by the survey respondent. </w:t>
      </w:r>
    </w:p>
    <w:p w14:paraId="2667009B" w14:textId="77777777" w:rsidR="00B90DB9" w:rsidRDefault="00B90DB9" w:rsidP="00B90DB9"/>
    <w:p w14:paraId="4CB77F4B" w14:textId="00DA4752" w:rsidR="00B64303" w:rsidRDefault="00B64303"/>
    <w:sectPr w:rsidR="00B6430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8512" w14:textId="77777777" w:rsidR="000E04C5" w:rsidRDefault="000E04C5" w:rsidP="00856175">
      <w:pPr>
        <w:spacing w:after="0" w:line="240" w:lineRule="auto"/>
      </w:pPr>
      <w:r>
        <w:separator/>
      </w:r>
    </w:p>
  </w:endnote>
  <w:endnote w:type="continuationSeparator" w:id="0">
    <w:p w14:paraId="4EF2CA31" w14:textId="77777777" w:rsidR="000E04C5" w:rsidRDefault="000E04C5" w:rsidP="0085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32353"/>
      <w:docPartObj>
        <w:docPartGallery w:val="Page Numbers (Bottom of Page)"/>
        <w:docPartUnique/>
      </w:docPartObj>
    </w:sdtPr>
    <w:sdtEndPr>
      <w:rPr>
        <w:noProof/>
      </w:rPr>
    </w:sdtEndPr>
    <w:sdtContent>
      <w:p w14:paraId="66CAE700" w14:textId="11165402" w:rsidR="005E18E2" w:rsidRDefault="005E18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F41633" w14:textId="77777777" w:rsidR="005E18E2" w:rsidRDefault="005E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B19F" w14:textId="77777777" w:rsidR="000E04C5" w:rsidRDefault="000E04C5" w:rsidP="00856175">
      <w:pPr>
        <w:spacing w:after="0" w:line="240" w:lineRule="auto"/>
      </w:pPr>
      <w:r>
        <w:separator/>
      </w:r>
    </w:p>
  </w:footnote>
  <w:footnote w:type="continuationSeparator" w:id="0">
    <w:p w14:paraId="4B887D82" w14:textId="77777777" w:rsidR="000E04C5" w:rsidRDefault="000E04C5" w:rsidP="0085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1245" w14:textId="77777777" w:rsidR="005E18E2" w:rsidRDefault="005E18E2" w:rsidP="005E18E2">
    <w:pPr>
      <w:spacing w:after="40"/>
      <w:jc w:val="right"/>
      <w:rPr>
        <w:smallCaps/>
      </w:rPr>
    </w:pPr>
    <w:r>
      <w:rPr>
        <w:smallCaps/>
      </w:rPr>
      <w:t>Carrabassett Valley Comprehensive Plan Update</w:t>
    </w:r>
  </w:p>
  <w:p w14:paraId="7DA3C221" w14:textId="77777777" w:rsidR="005E18E2" w:rsidRDefault="005E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B97"/>
    <w:multiLevelType w:val="multilevel"/>
    <w:tmpl w:val="5F14D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692EC9"/>
    <w:multiLevelType w:val="hybridMultilevel"/>
    <w:tmpl w:val="1C5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23C0D"/>
    <w:multiLevelType w:val="hybridMultilevel"/>
    <w:tmpl w:val="18E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669013">
    <w:abstractNumId w:val="0"/>
  </w:num>
  <w:num w:numId="2" w16cid:durableId="579100228">
    <w:abstractNumId w:val="2"/>
  </w:num>
  <w:num w:numId="3" w16cid:durableId="30894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D3"/>
    <w:rsid w:val="00005A17"/>
    <w:rsid w:val="00020ACE"/>
    <w:rsid w:val="0003564D"/>
    <w:rsid w:val="00037035"/>
    <w:rsid w:val="0005125F"/>
    <w:rsid w:val="000B560B"/>
    <w:rsid w:val="000E04C5"/>
    <w:rsid w:val="00120966"/>
    <w:rsid w:val="0013551B"/>
    <w:rsid w:val="00163128"/>
    <w:rsid w:val="00184EB4"/>
    <w:rsid w:val="00190563"/>
    <w:rsid w:val="001A6136"/>
    <w:rsid w:val="001C44AC"/>
    <w:rsid w:val="001C4B70"/>
    <w:rsid w:val="001D2403"/>
    <w:rsid w:val="001E60F8"/>
    <w:rsid w:val="001E7F57"/>
    <w:rsid w:val="001F4C4A"/>
    <w:rsid w:val="00231759"/>
    <w:rsid w:val="00250226"/>
    <w:rsid w:val="002572A4"/>
    <w:rsid w:val="002642C0"/>
    <w:rsid w:val="002D498F"/>
    <w:rsid w:val="002D74AF"/>
    <w:rsid w:val="002E704A"/>
    <w:rsid w:val="003006F8"/>
    <w:rsid w:val="00305A90"/>
    <w:rsid w:val="00315865"/>
    <w:rsid w:val="003271B4"/>
    <w:rsid w:val="00327752"/>
    <w:rsid w:val="00360074"/>
    <w:rsid w:val="00361B3F"/>
    <w:rsid w:val="00365CC5"/>
    <w:rsid w:val="0037617B"/>
    <w:rsid w:val="003A5EB1"/>
    <w:rsid w:val="003D25E4"/>
    <w:rsid w:val="003E7FD6"/>
    <w:rsid w:val="003F1A68"/>
    <w:rsid w:val="004703EA"/>
    <w:rsid w:val="00485216"/>
    <w:rsid w:val="00494F27"/>
    <w:rsid w:val="004964DA"/>
    <w:rsid w:val="004972A0"/>
    <w:rsid w:val="004B025D"/>
    <w:rsid w:val="004D577B"/>
    <w:rsid w:val="004D6640"/>
    <w:rsid w:val="0054383F"/>
    <w:rsid w:val="00554E38"/>
    <w:rsid w:val="0059317B"/>
    <w:rsid w:val="005A64E4"/>
    <w:rsid w:val="005B3F4B"/>
    <w:rsid w:val="005B7303"/>
    <w:rsid w:val="005E18E2"/>
    <w:rsid w:val="005F59EE"/>
    <w:rsid w:val="006074D9"/>
    <w:rsid w:val="0064497E"/>
    <w:rsid w:val="00677C76"/>
    <w:rsid w:val="00685010"/>
    <w:rsid w:val="00697B6D"/>
    <w:rsid w:val="006A6009"/>
    <w:rsid w:val="006A7D6A"/>
    <w:rsid w:val="006C1821"/>
    <w:rsid w:val="006D035F"/>
    <w:rsid w:val="006D31A3"/>
    <w:rsid w:val="00725042"/>
    <w:rsid w:val="007279EE"/>
    <w:rsid w:val="00794483"/>
    <w:rsid w:val="007F4C99"/>
    <w:rsid w:val="008003F4"/>
    <w:rsid w:val="00814F92"/>
    <w:rsid w:val="0082365D"/>
    <w:rsid w:val="00840017"/>
    <w:rsid w:val="008553BC"/>
    <w:rsid w:val="00856175"/>
    <w:rsid w:val="00887D71"/>
    <w:rsid w:val="008958A5"/>
    <w:rsid w:val="008B39A3"/>
    <w:rsid w:val="008B4875"/>
    <w:rsid w:val="008B5E20"/>
    <w:rsid w:val="008D188C"/>
    <w:rsid w:val="00904F0C"/>
    <w:rsid w:val="00911AA0"/>
    <w:rsid w:val="009224D9"/>
    <w:rsid w:val="00925C5B"/>
    <w:rsid w:val="009A6EF5"/>
    <w:rsid w:val="009D07F3"/>
    <w:rsid w:val="009E7B53"/>
    <w:rsid w:val="009F35E7"/>
    <w:rsid w:val="00A0249F"/>
    <w:rsid w:val="00A02E51"/>
    <w:rsid w:val="00A1079D"/>
    <w:rsid w:val="00A248B5"/>
    <w:rsid w:val="00A24F90"/>
    <w:rsid w:val="00A505A5"/>
    <w:rsid w:val="00A54BAC"/>
    <w:rsid w:val="00A55520"/>
    <w:rsid w:val="00AD2329"/>
    <w:rsid w:val="00AF5348"/>
    <w:rsid w:val="00B6258B"/>
    <w:rsid w:val="00B64303"/>
    <w:rsid w:val="00B81A00"/>
    <w:rsid w:val="00B87578"/>
    <w:rsid w:val="00B90DB9"/>
    <w:rsid w:val="00B941D8"/>
    <w:rsid w:val="00B96266"/>
    <w:rsid w:val="00BA746D"/>
    <w:rsid w:val="00C1201B"/>
    <w:rsid w:val="00C14831"/>
    <w:rsid w:val="00C40430"/>
    <w:rsid w:val="00C445BD"/>
    <w:rsid w:val="00C56837"/>
    <w:rsid w:val="00C82D34"/>
    <w:rsid w:val="00C94167"/>
    <w:rsid w:val="00C97F16"/>
    <w:rsid w:val="00CA793C"/>
    <w:rsid w:val="00CD1660"/>
    <w:rsid w:val="00CD4BD3"/>
    <w:rsid w:val="00CE55D3"/>
    <w:rsid w:val="00CF30E4"/>
    <w:rsid w:val="00D0362B"/>
    <w:rsid w:val="00D2329F"/>
    <w:rsid w:val="00D304C2"/>
    <w:rsid w:val="00D319DF"/>
    <w:rsid w:val="00D90DB5"/>
    <w:rsid w:val="00D9587E"/>
    <w:rsid w:val="00DA2D46"/>
    <w:rsid w:val="00DA6321"/>
    <w:rsid w:val="00DC22D3"/>
    <w:rsid w:val="00DE673C"/>
    <w:rsid w:val="00DF0F6A"/>
    <w:rsid w:val="00DF41D0"/>
    <w:rsid w:val="00DF7837"/>
    <w:rsid w:val="00E06D64"/>
    <w:rsid w:val="00E12A18"/>
    <w:rsid w:val="00E22CE2"/>
    <w:rsid w:val="00E45B17"/>
    <w:rsid w:val="00E47EB4"/>
    <w:rsid w:val="00E7484E"/>
    <w:rsid w:val="00E8656A"/>
    <w:rsid w:val="00EA0898"/>
    <w:rsid w:val="00ED0D4B"/>
    <w:rsid w:val="00ED4695"/>
    <w:rsid w:val="00EE4CE8"/>
    <w:rsid w:val="00F1199F"/>
    <w:rsid w:val="00F706A7"/>
    <w:rsid w:val="00F92405"/>
    <w:rsid w:val="00F96063"/>
    <w:rsid w:val="00FD19E3"/>
    <w:rsid w:val="00FD2837"/>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CBCB"/>
  <w15:chartTrackingRefBased/>
  <w15:docId w15:val="{77110A3D-E256-413F-93A4-378DA194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75"/>
  </w:style>
  <w:style w:type="paragraph" w:styleId="Footer">
    <w:name w:val="footer"/>
    <w:basedOn w:val="Normal"/>
    <w:link w:val="FooterChar"/>
    <w:uiPriority w:val="99"/>
    <w:unhideWhenUsed/>
    <w:rsid w:val="0085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75"/>
  </w:style>
  <w:style w:type="character" w:styleId="CommentReference">
    <w:name w:val="annotation reference"/>
    <w:basedOn w:val="DefaultParagraphFont"/>
    <w:uiPriority w:val="99"/>
    <w:semiHidden/>
    <w:unhideWhenUsed/>
    <w:rsid w:val="0059317B"/>
    <w:rPr>
      <w:sz w:val="16"/>
      <w:szCs w:val="16"/>
    </w:rPr>
  </w:style>
  <w:style w:type="paragraph" w:styleId="CommentText">
    <w:name w:val="annotation text"/>
    <w:basedOn w:val="Normal"/>
    <w:link w:val="CommentTextChar"/>
    <w:uiPriority w:val="99"/>
    <w:semiHidden/>
    <w:unhideWhenUsed/>
    <w:rsid w:val="0059317B"/>
    <w:pPr>
      <w:spacing w:line="240" w:lineRule="auto"/>
    </w:pPr>
    <w:rPr>
      <w:sz w:val="20"/>
      <w:szCs w:val="20"/>
    </w:rPr>
  </w:style>
  <w:style w:type="character" w:customStyle="1" w:styleId="CommentTextChar">
    <w:name w:val="Comment Text Char"/>
    <w:basedOn w:val="DefaultParagraphFont"/>
    <w:link w:val="CommentText"/>
    <w:uiPriority w:val="99"/>
    <w:semiHidden/>
    <w:rsid w:val="0059317B"/>
    <w:rPr>
      <w:sz w:val="20"/>
      <w:szCs w:val="20"/>
    </w:rPr>
  </w:style>
  <w:style w:type="paragraph" w:styleId="CommentSubject">
    <w:name w:val="annotation subject"/>
    <w:basedOn w:val="CommentText"/>
    <w:next w:val="CommentText"/>
    <w:link w:val="CommentSubjectChar"/>
    <w:uiPriority w:val="99"/>
    <w:semiHidden/>
    <w:unhideWhenUsed/>
    <w:rsid w:val="0059317B"/>
    <w:rPr>
      <w:b/>
      <w:bCs/>
    </w:rPr>
  </w:style>
  <w:style w:type="character" w:customStyle="1" w:styleId="CommentSubjectChar">
    <w:name w:val="Comment Subject Char"/>
    <w:basedOn w:val="CommentTextChar"/>
    <w:link w:val="CommentSubject"/>
    <w:uiPriority w:val="99"/>
    <w:semiHidden/>
    <w:rsid w:val="0059317B"/>
    <w:rPr>
      <w:b/>
      <w:bCs/>
      <w:sz w:val="20"/>
      <w:szCs w:val="20"/>
    </w:rPr>
  </w:style>
  <w:style w:type="character" w:customStyle="1" w:styleId="Heading1Char">
    <w:name w:val="Heading 1 Char"/>
    <w:basedOn w:val="DefaultParagraphFont"/>
    <w:link w:val="Heading1"/>
    <w:uiPriority w:val="9"/>
    <w:rsid w:val="006D03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387">
      <w:bodyDiv w:val="1"/>
      <w:marLeft w:val="0"/>
      <w:marRight w:val="0"/>
      <w:marTop w:val="0"/>
      <w:marBottom w:val="0"/>
      <w:divBdr>
        <w:top w:val="none" w:sz="0" w:space="0" w:color="auto"/>
        <w:left w:val="none" w:sz="0" w:space="0" w:color="auto"/>
        <w:bottom w:val="none" w:sz="0" w:space="0" w:color="auto"/>
        <w:right w:val="none" w:sz="0" w:space="0" w:color="auto"/>
      </w:divBdr>
    </w:div>
    <w:div w:id="114443432">
      <w:bodyDiv w:val="1"/>
      <w:marLeft w:val="0"/>
      <w:marRight w:val="0"/>
      <w:marTop w:val="0"/>
      <w:marBottom w:val="0"/>
      <w:divBdr>
        <w:top w:val="none" w:sz="0" w:space="0" w:color="auto"/>
        <w:left w:val="none" w:sz="0" w:space="0" w:color="auto"/>
        <w:bottom w:val="none" w:sz="0" w:space="0" w:color="auto"/>
        <w:right w:val="none" w:sz="0" w:space="0" w:color="auto"/>
      </w:divBdr>
    </w:div>
    <w:div w:id="161117930">
      <w:bodyDiv w:val="1"/>
      <w:marLeft w:val="0"/>
      <w:marRight w:val="0"/>
      <w:marTop w:val="0"/>
      <w:marBottom w:val="0"/>
      <w:divBdr>
        <w:top w:val="none" w:sz="0" w:space="0" w:color="auto"/>
        <w:left w:val="none" w:sz="0" w:space="0" w:color="auto"/>
        <w:bottom w:val="none" w:sz="0" w:space="0" w:color="auto"/>
        <w:right w:val="none" w:sz="0" w:space="0" w:color="auto"/>
      </w:divBdr>
    </w:div>
    <w:div w:id="199320348">
      <w:bodyDiv w:val="1"/>
      <w:marLeft w:val="0"/>
      <w:marRight w:val="0"/>
      <w:marTop w:val="0"/>
      <w:marBottom w:val="0"/>
      <w:divBdr>
        <w:top w:val="none" w:sz="0" w:space="0" w:color="auto"/>
        <w:left w:val="none" w:sz="0" w:space="0" w:color="auto"/>
        <w:bottom w:val="none" w:sz="0" w:space="0" w:color="auto"/>
        <w:right w:val="none" w:sz="0" w:space="0" w:color="auto"/>
      </w:divBdr>
    </w:div>
    <w:div w:id="200411073">
      <w:bodyDiv w:val="1"/>
      <w:marLeft w:val="0"/>
      <w:marRight w:val="0"/>
      <w:marTop w:val="0"/>
      <w:marBottom w:val="0"/>
      <w:divBdr>
        <w:top w:val="none" w:sz="0" w:space="0" w:color="auto"/>
        <w:left w:val="none" w:sz="0" w:space="0" w:color="auto"/>
        <w:bottom w:val="none" w:sz="0" w:space="0" w:color="auto"/>
        <w:right w:val="none" w:sz="0" w:space="0" w:color="auto"/>
      </w:divBdr>
    </w:div>
    <w:div w:id="214631133">
      <w:bodyDiv w:val="1"/>
      <w:marLeft w:val="0"/>
      <w:marRight w:val="0"/>
      <w:marTop w:val="0"/>
      <w:marBottom w:val="0"/>
      <w:divBdr>
        <w:top w:val="none" w:sz="0" w:space="0" w:color="auto"/>
        <w:left w:val="none" w:sz="0" w:space="0" w:color="auto"/>
        <w:bottom w:val="none" w:sz="0" w:space="0" w:color="auto"/>
        <w:right w:val="none" w:sz="0" w:space="0" w:color="auto"/>
      </w:divBdr>
    </w:div>
    <w:div w:id="416756193">
      <w:bodyDiv w:val="1"/>
      <w:marLeft w:val="0"/>
      <w:marRight w:val="0"/>
      <w:marTop w:val="0"/>
      <w:marBottom w:val="0"/>
      <w:divBdr>
        <w:top w:val="none" w:sz="0" w:space="0" w:color="auto"/>
        <w:left w:val="none" w:sz="0" w:space="0" w:color="auto"/>
        <w:bottom w:val="none" w:sz="0" w:space="0" w:color="auto"/>
        <w:right w:val="none" w:sz="0" w:space="0" w:color="auto"/>
      </w:divBdr>
    </w:div>
    <w:div w:id="434641795">
      <w:bodyDiv w:val="1"/>
      <w:marLeft w:val="0"/>
      <w:marRight w:val="0"/>
      <w:marTop w:val="0"/>
      <w:marBottom w:val="0"/>
      <w:divBdr>
        <w:top w:val="none" w:sz="0" w:space="0" w:color="auto"/>
        <w:left w:val="none" w:sz="0" w:space="0" w:color="auto"/>
        <w:bottom w:val="none" w:sz="0" w:space="0" w:color="auto"/>
        <w:right w:val="none" w:sz="0" w:space="0" w:color="auto"/>
      </w:divBdr>
    </w:div>
    <w:div w:id="450520004">
      <w:bodyDiv w:val="1"/>
      <w:marLeft w:val="0"/>
      <w:marRight w:val="0"/>
      <w:marTop w:val="0"/>
      <w:marBottom w:val="0"/>
      <w:divBdr>
        <w:top w:val="none" w:sz="0" w:space="0" w:color="auto"/>
        <w:left w:val="none" w:sz="0" w:space="0" w:color="auto"/>
        <w:bottom w:val="none" w:sz="0" w:space="0" w:color="auto"/>
        <w:right w:val="none" w:sz="0" w:space="0" w:color="auto"/>
      </w:divBdr>
    </w:div>
    <w:div w:id="623654627">
      <w:bodyDiv w:val="1"/>
      <w:marLeft w:val="0"/>
      <w:marRight w:val="0"/>
      <w:marTop w:val="0"/>
      <w:marBottom w:val="0"/>
      <w:divBdr>
        <w:top w:val="none" w:sz="0" w:space="0" w:color="auto"/>
        <w:left w:val="none" w:sz="0" w:space="0" w:color="auto"/>
        <w:bottom w:val="none" w:sz="0" w:space="0" w:color="auto"/>
        <w:right w:val="none" w:sz="0" w:space="0" w:color="auto"/>
      </w:divBdr>
    </w:div>
    <w:div w:id="802964148">
      <w:bodyDiv w:val="1"/>
      <w:marLeft w:val="0"/>
      <w:marRight w:val="0"/>
      <w:marTop w:val="0"/>
      <w:marBottom w:val="0"/>
      <w:divBdr>
        <w:top w:val="none" w:sz="0" w:space="0" w:color="auto"/>
        <w:left w:val="none" w:sz="0" w:space="0" w:color="auto"/>
        <w:bottom w:val="none" w:sz="0" w:space="0" w:color="auto"/>
        <w:right w:val="none" w:sz="0" w:space="0" w:color="auto"/>
      </w:divBdr>
    </w:div>
    <w:div w:id="811676970">
      <w:bodyDiv w:val="1"/>
      <w:marLeft w:val="0"/>
      <w:marRight w:val="0"/>
      <w:marTop w:val="0"/>
      <w:marBottom w:val="0"/>
      <w:divBdr>
        <w:top w:val="none" w:sz="0" w:space="0" w:color="auto"/>
        <w:left w:val="none" w:sz="0" w:space="0" w:color="auto"/>
        <w:bottom w:val="none" w:sz="0" w:space="0" w:color="auto"/>
        <w:right w:val="none" w:sz="0" w:space="0" w:color="auto"/>
      </w:divBdr>
    </w:div>
    <w:div w:id="1086002060">
      <w:bodyDiv w:val="1"/>
      <w:marLeft w:val="0"/>
      <w:marRight w:val="0"/>
      <w:marTop w:val="0"/>
      <w:marBottom w:val="0"/>
      <w:divBdr>
        <w:top w:val="none" w:sz="0" w:space="0" w:color="auto"/>
        <w:left w:val="none" w:sz="0" w:space="0" w:color="auto"/>
        <w:bottom w:val="none" w:sz="0" w:space="0" w:color="auto"/>
        <w:right w:val="none" w:sz="0" w:space="0" w:color="auto"/>
      </w:divBdr>
    </w:div>
    <w:div w:id="1100485683">
      <w:bodyDiv w:val="1"/>
      <w:marLeft w:val="0"/>
      <w:marRight w:val="0"/>
      <w:marTop w:val="0"/>
      <w:marBottom w:val="0"/>
      <w:divBdr>
        <w:top w:val="none" w:sz="0" w:space="0" w:color="auto"/>
        <w:left w:val="none" w:sz="0" w:space="0" w:color="auto"/>
        <w:bottom w:val="none" w:sz="0" w:space="0" w:color="auto"/>
        <w:right w:val="none" w:sz="0" w:space="0" w:color="auto"/>
      </w:divBdr>
    </w:div>
    <w:div w:id="1139958478">
      <w:bodyDiv w:val="1"/>
      <w:marLeft w:val="0"/>
      <w:marRight w:val="0"/>
      <w:marTop w:val="0"/>
      <w:marBottom w:val="0"/>
      <w:divBdr>
        <w:top w:val="none" w:sz="0" w:space="0" w:color="auto"/>
        <w:left w:val="none" w:sz="0" w:space="0" w:color="auto"/>
        <w:bottom w:val="none" w:sz="0" w:space="0" w:color="auto"/>
        <w:right w:val="none" w:sz="0" w:space="0" w:color="auto"/>
      </w:divBdr>
    </w:div>
    <w:div w:id="1184175716">
      <w:bodyDiv w:val="1"/>
      <w:marLeft w:val="0"/>
      <w:marRight w:val="0"/>
      <w:marTop w:val="0"/>
      <w:marBottom w:val="0"/>
      <w:divBdr>
        <w:top w:val="none" w:sz="0" w:space="0" w:color="auto"/>
        <w:left w:val="none" w:sz="0" w:space="0" w:color="auto"/>
        <w:bottom w:val="none" w:sz="0" w:space="0" w:color="auto"/>
        <w:right w:val="none" w:sz="0" w:space="0" w:color="auto"/>
      </w:divBdr>
    </w:div>
    <w:div w:id="1337876982">
      <w:bodyDiv w:val="1"/>
      <w:marLeft w:val="0"/>
      <w:marRight w:val="0"/>
      <w:marTop w:val="0"/>
      <w:marBottom w:val="0"/>
      <w:divBdr>
        <w:top w:val="none" w:sz="0" w:space="0" w:color="auto"/>
        <w:left w:val="none" w:sz="0" w:space="0" w:color="auto"/>
        <w:bottom w:val="none" w:sz="0" w:space="0" w:color="auto"/>
        <w:right w:val="none" w:sz="0" w:space="0" w:color="auto"/>
      </w:divBdr>
    </w:div>
    <w:div w:id="1390107197">
      <w:bodyDiv w:val="1"/>
      <w:marLeft w:val="0"/>
      <w:marRight w:val="0"/>
      <w:marTop w:val="0"/>
      <w:marBottom w:val="0"/>
      <w:divBdr>
        <w:top w:val="none" w:sz="0" w:space="0" w:color="auto"/>
        <w:left w:val="none" w:sz="0" w:space="0" w:color="auto"/>
        <w:bottom w:val="none" w:sz="0" w:space="0" w:color="auto"/>
        <w:right w:val="none" w:sz="0" w:space="0" w:color="auto"/>
      </w:divBdr>
    </w:div>
    <w:div w:id="1391925090">
      <w:bodyDiv w:val="1"/>
      <w:marLeft w:val="0"/>
      <w:marRight w:val="0"/>
      <w:marTop w:val="0"/>
      <w:marBottom w:val="0"/>
      <w:divBdr>
        <w:top w:val="none" w:sz="0" w:space="0" w:color="auto"/>
        <w:left w:val="none" w:sz="0" w:space="0" w:color="auto"/>
        <w:bottom w:val="none" w:sz="0" w:space="0" w:color="auto"/>
        <w:right w:val="none" w:sz="0" w:space="0" w:color="auto"/>
      </w:divBdr>
    </w:div>
    <w:div w:id="1400714228">
      <w:bodyDiv w:val="1"/>
      <w:marLeft w:val="0"/>
      <w:marRight w:val="0"/>
      <w:marTop w:val="0"/>
      <w:marBottom w:val="0"/>
      <w:divBdr>
        <w:top w:val="none" w:sz="0" w:space="0" w:color="auto"/>
        <w:left w:val="none" w:sz="0" w:space="0" w:color="auto"/>
        <w:bottom w:val="none" w:sz="0" w:space="0" w:color="auto"/>
        <w:right w:val="none" w:sz="0" w:space="0" w:color="auto"/>
      </w:divBdr>
    </w:div>
    <w:div w:id="1419910565">
      <w:bodyDiv w:val="1"/>
      <w:marLeft w:val="0"/>
      <w:marRight w:val="0"/>
      <w:marTop w:val="0"/>
      <w:marBottom w:val="0"/>
      <w:divBdr>
        <w:top w:val="none" w:sz="0" w:space="0" w:color="auto"/>
        <w:left w:val="none" w:sz="0" w:space="0" w:color="auto"/>
        <w:bottom w:val="none" w:sz="0" w:space="0" w:color="auto"/>
        <w:right w:val="none" w:sz="0" w:space="0" w:color="auto"/>
      </w:divBdr>
    </w:div>
    <w:div w:id="1458793338">
      <w:bodyDiv w:val="1"/>
      <w:marLeft w:val="0"/>
      <w:marRight w:val="0"/>
      <w:marTop w:val="0"/>
      <w:marBottom w:val="0"/>
      <w:divBdr>
        <w:top w:val="none" w:sz="0" w:space="0" w:color="auto"/>
        <w:left w:val="none" w:sz="0" w:space="0" w:color="auto"/>
        <w:bottom w:val="none" w:sz="0" w:space="0" w:color="auto"/>
        <w:right w:val="none" w:sz="0" w:space="0" w:color="auto"/>
      </w:divBdr>
    </w:div>
    <w:div w:id="1507212007">
      <w:bodyDiv w:val="1"/>
      <w:marLeft w:val="0"/>
      <w:marRight w:val="0"/>
      <w:marTop w:val="0"/>
      <w:marBottom w:val="0"/>
      <w:divBdr>
        <w:top w:val="none" w:sz="0" w:space="0" w:color="auto"/>
        <w:left w:val="none" w:sz="0" w:space="0" w:color="auto"/>
        <w:bottom w:val="none" w:sz="0" w:space="0" w:color="auto"/>
        <w:right w:val="none" w:sz="0" w:space="0" w:color="auto"/>
      </w:divBdr>
    </w:div>
    <w:div w:id="1547793391">
      <w:bodyDiv w:val="1"/>
      <w:marLeft w:val="0"/>
      <w:marRight w:val="0"/>
      <w:marTop w:val="0"/>
      <w:marBottom w:val="0"/>
      <w:divBdr>
        <w:top w:val="none" w:sz="0" w:space="0" w:color="auto"/>
        <w:left w:val="none" w:sz="0" w:space="0" w:color="auto"/>
        <w:bottom w:val="none" w:sz="0" w:space="0" w:color="auto"/>
        <w:right w:val="none" w:sz="0" w:space="0" w:color="auto"/>
      </w:divBdr>
    </w:div>
    <w:div w:id="1565680877">
      <w:bodyDiv w:val="1"/>
      <w:marLeft w:val="0"/>
      <w:marRight w:val="0"/>
      <w:marTop w:val="0"/>
      <w:marBottom w:val="0"/>
      <w:divBdr>
        <w:top w:val="none" w:sz="0" w:space="0" w:color="auto"/>
        <w:left w:val="none" w:sz="0" w:space="0" w:color="auto"/>
        <w:bottom w:val="none" w:sz="0" w:space="0" w:color="auto"/>
        <w:right w:val="none" w:sz="0" w:space="0" w:color="auto"/>
      </w:divBdr>
    </w:div>
    <w:div w:id="1584491945">
      <w:bodyDiv w:val="1"/>
      <w:marLeft w:val="0"/>
      <w:marRight w:val="0"/>
      <w:marTop w:val="0"/>
      <w:marBottom w:val="0"/>
      <w:divBdr>
        <w:top w:val="none" w:sz="0" w:space="0" w:color="auto"/>
        <w:left w:val="none" w:sz="0" w:space="0" w:color="auto"/>
        <w:bottom w:val="none" w:sz="0" w:space="0" w:color="auto"/>
        <w:right w:val="none" w:sz="0" w:space="0" w:color="auto"/>
      </w:divBdr>
    </w:div>
    <w:div w:id="1599945087">
      <w:bodyDiv w:val="1"/>
      <w:marLeft w:val="0"/>
      <w:marRight w:val="0"/>
      <w:marTop w:val="0"/>
      <w:marBottom w:val="0"/>
      <w:divBdr>
        <w:top w:val="none" w:sz="0" w:space="0" w:color="auto"/>
        <w:left w:val="none" w:sz="0" w:space="0" w:color="auto"/>
        <w:bottom w:val="none" w:sz="0" w:space="0" w:color="auto"/>
        <w:right w:val="none" w:sz="0" w:space="0" w:color="auto"/>
      </w:divBdr>
    </w:div>
    <w:div w:id="1751467228">
      <w:bodyDiv w:val="1"/>
      <w:marLeft w:val="0"/>
      <w:marRight w:val="0"/>
      <w:marTop w:val="0"/>
      <w:marBottom w:val="0"/>
      <w:divBdr>
        <w:top w:val="none" w:sz="0" w:space="0" w:color="auto"/>
        <w:left w:val="none" w:sz="0" w:space="0" w:color="auto"/>
        <w:bottom w:val="none" w:sz="0" w:space="0" w:color="auto"/>
        <w:right w:val="none" w:sz="0" w:space="0" w:color="auto"/>
      </w:divBdr>
    </w:div>
    <w:div w:id="1963612198">
      <w:bodyDiv w:val="1"/>
      <w:marLeft w:val="0"/>
      <w:marRight w:val="0"/>
      <w:marTop w:val="0"/>
      <w:marBottom w:val="0"/>
      <w:divBdr>
        <w:top w:val="none" w:sz="0" w:space="0" w:color="auto"/>
        <w:left w:val="none" w:sz="0" w:space="0" w:color="auto"/>
        <w:bottom w:val="none" w:sz="0" w:space="0" w:color="auto"/>
        <w:right w:val="none" w:sz="0" w:space="0" w:color="auto"/>
      </w:divBdr>
    </w:div>
    <w:div w:id="2032761982">
      <w:bodyDiv w:val="1"/>
      <w:marLeft w:val="0"/>
      <w:marRight w:val="0"/>
      <w:marTop w:val="0"/>
      <w:marBottom w:val="0"/>
      <w:divBdr>
        <w:top w:val="none" w:sz="0" w:space="0" w:color="auto"/>
        <w:left w:val="none" w:sz="0" w:space="0" w:color="auto"/>
        <w:bottom w:val="none" w:sz="0" w:space="0" w:color="auto"/>
        <w:right w:val="none" w:sz="0" w:space="0" w:color="auto"/>
      </w:divBdr>
    </w:div>
    <w:div w:id="21379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Population%20Data\CV%20Comp%20Plan%20Pop%20Data%20Workbook.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Historic</a:t>
            </a:r>
            <a:r>
              <a:rPr lang="en-US" b="1" baseline="0"/>
              <a:t> Population Growth (1980 - 2020)</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r>
              <a:rPr lang="en-US" sz="1050" b="0" i="1" u="none" strike="noStrike" kern="1200" spc="0" baseline="0">
                <a:solidFill>
                  <a:sysClr val="windowText" lastClr="000000">
                    <a:lumMod val="65000"/>
                    <a:lumOff val="35000"/>
                  </a:sysClr>
                </a:solidFill>
              </a:rPr>
              <a:t>Source: U.S. Census Decennial Census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7"/>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'Snapshot &amp; Historic Trends'!$A$26:$A$30</c:f>
              <c:numCache>
                <c:formatCode>General</c:formatCode>
                <c:ptCount val="5"/>
                <c:pt idx="0">
                  <c:v>1980</c:v>
                </c:pt>
                <c:pt idx="1">
                  <c:v>1990</c:v>
                </c:pt>
                <c:pt idx="2">
                  <c:v>2000</c:v>
                </c:pt>
                <c:pt idx="3">
                  <c:v>2010</c:v>
                </c:pt>
                <c:pt idx="4">
                  <c:v>2020</c:v>
                </c:pt>
              </c:numCache>
            </c:numRef>
          </c:cat>
          <c:val>
            <c:numRef>
              <c:f>'Snapshot &amp; Historic Trends'!$B$26:$B$30</c:f>
              <c:numCache>
                <c:formatCode>General</c:formatCode>
                <c:ptCount val="5"/>
                <c:pt idx="0">
                  <c:v>107</c:v>
                </c:pt>
                <c:pt idx="1">
                  <c:v>325</c:v>
                </c:pt>
                <c:pt idx="2">
                  <c:v>399</c:v>
                </c:pt>
                <c:pt idx="3">
                  <c:v>781</c:v>
                </c:pt>
                <c:pt idx="4">
                  <c:v>673</c:v>
                </c:pt>
              </c:numCache>
            </c:numRef>
          </c:val>
          <c:smooth val="1"/>
          <c:extLst>
            <c:ext xmlns:c16="http://schemas.microsoft.com/office/drawing/2014/chart" uri="{C3380CC4-5D6E-409C-BE32-E72D297353CC}">
              <c16:uniqueId val="{00000000-FFDD-499F-9133-CC88B61B7A5D}"/>
            </c:ext>
          </c:extLst>
        </c:ser>
        <c:dLbls>
          <c:showLegendKey val="0"/>
          <c:showVal val="0"/>
          <c:showCatName val="0"/>
          <c:showSerName val="0"/>
          <c:showPercent val="0"/>
          <c:showBubbleSize val="0"/>
        </c:dLbls>
        <c:marker val="1"/>
        <c:smooth val="0"/>
        <c:axId val="1083841359"/>
        <c:axId val="1091703119"/>
      </c:lineChart>
      <c:catAx>
        <c:axId val="108384135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703119"/>
        <c:crosses val="autoZero"/>
        <c:auto val="1"/>
        <c:lblAlgn val="ctr"/>
        <c:lblOffset val="100"/>
        <c:noMultiLvlLbl val="0"/>
      </c:catAx>
      <c:valAx>
        <c:axId val="10917031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Total Population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841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Comparison of </a:t>
            </a:r>
            <a:r>
              <a:rPr lang="en-US" sz="1400" b="1"/>
              <a:t>Population</a:t>
            </a:r>
            <a:r>
              <a:rPr lang="en-US" sz="1400" b="1" baseline="0"/>
              <a:t> Percent Change: Carrabassett Valley, Franklin County, Maine</a:t>
            </a:r>
          </a:p>
          <a:p>
            <a:pPr>
              <a:defRPr/>
            </a:pPr>
            <a:r>
              <a:rPr lang="en-US" sz="1000" b="0" i="1" baseline="0"/>
              <a:t>Source: U.S. Census Decennial Census </a:t>
            </a:r>
            <a:endParaRPr lang="en-US" sz="1000" b="0"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'Snapshot &amp; Historic Trends'!$C$25</c:f>
              <c:strCache>
                <c:ptCount val="1"/>
                <c:pt idx="0">
                  <c:v>CV % change</c:v>
                </c:pt>
              </c:strCache>
            </c:strRef>
          </c:tx>
          <c:spPr>
            <a:ln w="28575" cap="rnd">
              <a:solidFill>
                <a:schemeClr val="accent1"/>
              </a:solidFill>
              <a:round/>
            </a:ln>
            <a:effectLst/>
          </c:spPr>
          <c:marker>
            <c:symbol val="none"/>
          </c:marker>
          <c:cat>
            <c:numRef>
              <c:f>'Snapshot &amp; Historic Trends'!$A$26:$A$30</c:f>
              <c:numCache>
                <c:formatCode>General</c:formatCode>
                <c:ptCount val="5"/>
                <c:pt idx="0">
                  <c:v>1980</c:v>
                </c:pt>
                <c:pt idx="1">
                  <c:v>1990</c:v>
                </c:pt>
                <c:pt idx="2">
                  <c:v>2000</c:v>
                </c:pt>
                <c:pt idx="3">
                  <c:v>2010</c:v>
                </c:pt>
                <c:pt idx="4">
                  <c:v>2020</c:v>
                </c:pt>
              </c:numCache>
            </c:numRef>
          </c:cat>
          <c:val>
            <c:numRef>
              <c:f>'Snapshot &amp; Historic Trends'!$C$26:$C$30</c:f>
              <c:numCache>
                <c:formatCode>0.0</c:formatCode>
                <c:ptCount val="5"/>
                <c:pt idx="0">
                  <c:v>167.5</c:v>
                </c:pt>
                <c:pt idx="1">
                  <c:v>203.7</c:v>
                </c:pt>
                <c:pt idx="2">
                  <c:v>22.8</c:v>
                </c:pt>
                <c:pt idx="3">
                  <c:v>95.7</c:v>
                </c:pt>
                <c:pt idx="4">
                  <c:v>-13.8</c:v>
                </c:pt>
              </c:numCache>
            </c:numRef>
          </c:val>
          <c:smooth val="1"/>
          <c:extLst>
            <c:ext xmlns:c16="http://schemas.microsoft.com/office/drawing/2014/chart" uri="{C3380CC4-5D6E-409C-BE32-E72D297353CC}">
              <c16:uniqueId val="{00000000-F9A8-4E10-9F4D-AE79E5DFEC5A}"/>
            </c:ext>
          </c:extLst>
        </c:ser>
        <c:ser>
          <c:idx val="1"/>
          <c:order val="1"/>
          <c:tx>
            <c:strRef>
              <c:f>'Snapshot &amp; Historic Trends'!$E$25</c:f>
              <c:strCache>
                <c:ptCount val="1"/>
                <c:pt idx="0">
                  <c:v>Franklin Co. % change</c:v>
                </c:pt>
              </c:strCache>
            </c:strRef>
          </c:tx>
          <c:spPr>
            <a:ln w="28575" cap="rnd">
              <a:solidFill>
                <a:schemeClr val="accent2"/>
              </a:solidFill>
              <a:round/>
            </a:ln>
            <a:effectLst/>
          </c:spPr>
          <c:marker>
            <c:symbol val="none"/>
          </c:marker>
          <c:cat>
            <c:numRef>
              <c:f>'Snapshot &amp; Historic Trends'!$A$26:$A$30</c:f>
              <c:numCache>
                <c:formatCode>General</c:formatCode>
                <c:ptCount val="5"/>
                <c:pt idx="0">
                  <c:v>1980</c:v>
                </c:pt>
                <c:pt idx="1">
                  <c:v>1990</c:v>
                </c:pt>
                <c:pt idx="2">
                  <c:v>2000</c:v>
                </c:pt>
                <c:pt idx="3">
                  <c:v>2010</c:v>
                </c:pt>
                <c:pt idx="4">
                  <c:v>2020</c:v>
                </c:pt>
              </c:numCache>
            </c:numRef>
          </c:cat>
          <c:val>
            <c:numRef>
              <c:f>'Snapshot &amp; Historic Trends'!$E$26:$E$30</c:f>
              <c:numCache>
                <c:formatCode>0.0</c:formatCode>
                <c:ptCount val="5"/>
                <c:pt idx="0">
                  <c:v>20.7</c:v>
                </c:pt>
                <c:pt idx="1">
                  <c:v>7</c:v>
                </c:pt>
                <c:pt idx="2">
                  <c:v>1.6</c:v>
                </c:pt>
                <c:pt idx="3">
                  <c:v>4.4000000000000004</c:v>
                </c:pt>
                <c:pt idx="4">
                  <c:v>-4.3</c:v>
                </c:pt>
              </c:numCache>
            </c:numRef>
          </c:val>
          <c:smooth val="1"/>
          <c:extLst>
            <c:ext xmlns:c16="http://schemas.microsoft.com/office/drawing/2014/chart" uri="{C3380CC4-5D6E-409C-BE32-E72D297353CC}">
              <c16:uniqueId val="{00000001-F9A8-4E10-9F4D-AE79E5DFEC5A}"/>
            </c:ext>
          </c:extLst>
        </c:ser>
        <c:ser>
          <c:idx val="2"/>
          <c:order val="2"/>
          <c:tx>
            <c:strRef>
              <c:f>'Snapshot &amp; Historic Trends'!$G$25</c:f>
              <c:strCache>
                <c:ptCount val="1"/>
                <c:pt idx="0">
                  <c:v>Maine % change</c:v>
                </c:pt>
              </c:strCache>
            </c:strRef>
          </c:tx>
          <c:spPr>
            <a:ln w="28575" cap="rnd">
              <a:solidFill>
                <a:schemeClr val="accent3"/>
              </a:solidFill>
              <a:round/>
            </a:ln>
            <a:effectLst/>
          </c:spPr>
          <c:marker>
            <c:symbol val="none"/>
          </c:marker>
          <c:cat>
            <c:numRef>
              <c:f>'Snapshot &amp; Historic Trends'!$A$26:$A$30</c:f>
              <c:numCache>
                <c:formatCode>General</c:formatCode>
                <c:ptCount val="5"/>
                <c:pt idx="0">
                  <c:v>1980</c:v>
                </c:pt>
                <c:pt idx="1">
                  <c:v>1990</c:v>
                </c:pt>
                <c:pt idx="2">
                  <c:v>2000</c:v>
                </c:pt>
                <c:pt idx="3">
                  <c:v>2010</c:v>
                </c:pt>
                <c:pt idx="4">
                  <c:v>2020</c:v>
                </c:pt>
              </c:numCache>
            </c:numRef>
          </c:cat>
          <c:val>
            <c:numRef>
              <c:f>'Snapshot &amp; Historic Trends'!$G$26:$G$30</c:f>
              <c:numCache>
                <c:formatCode>0.0</c:formatCode>
                <c:ptCount val="5"/>
                <c:pt idx="0">
                  <c:v>13.4</c:v>
                </c:pt>
                <c:pt idx="1">
                  <c:v>9.1999999999999993</c:v>
                </c:pt>
                <c:pt idx="2">
                  <c:v>3.8</c:v>
                </c:pt>
                <c:pt idx="3">
                  <c:v>4.2</c:v>
                </c:pt>
                <c:pt idx="4">
                  <c:v>2.6</c:v>
                </c:pt>
              </c:numCache>
            </c:numRef>
          </c:val>
          <c:smooth val="1"/>
          <c:extLst>
            <c:ext xmlns:c16="http://schemas.microsoft.com/office/drawing/2014/chart" uri="{C3380CC4-5D6E-409C-BE32-E72D297353CC}">
              <c16:uniqueId val="{00000002-F9A8-4E10-9F4D-AE79E5DFEC5A}"/>
            </c:ext>
          </c:extLst>
        </c:ser>
        <c:dLbls>
          <c:showLegendKey val="0"/>
          <c:showVal val="0"/>
          <c:showCatName val="0"/>
          <c:showSerName val="0"/>
          <c:showPercent val="0"/>
          <c:showBubbleSize val="0"/>
        </c:dLbls>
        <c:smooth val="0"/>
        <c:axId val="591992671"/>
        <c:axId val="586933407"/>
      </c:lineChart>
      <c:catAx>
        <c:axId val="5919926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933407"/>
        <c:crosses val="autoZero"/>
        <c:auto val="1"/>
        <c:lblAlgn val="ctr"/>
        <c:lblOffset val="100"/>
        <c:noMultiLvlLbl val="0"/>
      </c:catAx>
      <c:valAx>
        <c:axId val="5869334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r>
                  <a:rPr lang="en-US" baseline="0"/>
                  <a:t> Percent Change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992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Age</a:t>
            </a:r>
            <a:r>
              <a:rPr lang="en-US" b="1" baseline="0"/>
              <a:t> Cohort Comparison (2020)</a:t>
            </a:r>
            <a:br>
              <a:rPr lang="en-US" b="1" baseline="0"/>
            </a:br>
            <a:r>
              <a:rPr lang="en-US" sz="1100" b="0" i="1" baseline="0"/>
              <a:t>Source: U.S. Census Bureau Decennial Census</a:t>
            </a:r>
            <a:endParaRPr lang="en-US" b="0" i="1" baseline="0"/>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872703412073492E-2"/>
          <c:y val="0.17171296296296298"/>
          <c:w val="0.86601618547681536"/>
          <c:h val="0.61498432487605714"/>
        </c:manualLayout>
      </c:layout>
      <c:barChart>
        <c:barDir val="col"/>
        <c:grouping val="clustered"/>
        <c:varyColors val="0"/>
        <c:ser>
          <c:idx val="0"/>
          <c:order val="0"/>
          <c:tx>
            <c:strRef>
              <c:f>'Age and Households'!$B$42</c:f>
              <c:strCache>
                <c:ptCount val="1"/>
                <c:pt idx="0">
                  <c:v>Carrabassett Valley</c:v>
                </c:pt>
              </c:strCache>
            </c:strRef>
          </c:tx>
          <c:spPr>
            <a:solidFill>
              <a:schemeClr val="accent1"/>
            </a:solidFill>
            <a:ln>
              <a:noFill/>
            </a:ln>
            <a:effectLst/>
          </c:spPr>
          <c:invertIfNegative val="0"/>
          <c:cat>
            <c:strRef>
              <c:f>'Age and Households'!$A$43:$A$50</c:f>
              <c:strCache>
                <c:ptCount val="8"/>
                <c:pt idx="0">
                  <c:v>Under 10</c:v>
                </c:pt>
                <c:pt idx="1">
                  <c:v>10-19</c:v>
                </c:pt>
                <c:pt idx="2">
                  <c:v>20-29</c:v>
                </c:pt>
                <c:pt idx="3">
                  <c:v>30-39</c:v>
                </c:pt>
                <c:pt idx="4">
                  <c:v>40-49</c:v>
                </c:pt>
                <c:pt idx="5">
                  <c:v>50-59</c:v>
                </c:pt>
                <c:pt idx="6">
                  <c:v>60-69</c:v>
                </c:pt>
                <c:pt idx="7">
                  <c:v>70+</c:v>
                </c:pt>
              </c:strCache>
            </c:strRef>
          </c:cat>
          <c:val>
            <c:numRef>
              <c:f>'Age and Households'!$B$43:$B$50</c:f>
              <c:numCache>
                <c:formatCode>0.0%</c:formatCode>
                <c:ptCount val="8"/>
                <c:pt idx="0">
                  <c:v>6.2407132243684993E-2</c:v>
                </c:pt>
                <c:pt idx="1">
                  <c:v>6.9836552748885589E-2</c:v>
                </c:pt>
                <c:pt idx="2">
                  <c:v>8.1723625557206539E-2</c:v>
                </c:pt>
                <c:pt idx="3">
                  <c:v>7.8751857355126298E-2</c:v>
                </c:pt>
                <c:pt idx="4">
                  <c:v>0.10995542347696879</c:v>
                </c:pt>
                <c:pt idx="5">
                  <c:v>0.16939078751857356</c:v>
                </c:pt>
                <c:pt idx="6">
                  <c:v>0.2451708766716196</c:v>
                </c:pt>
                <c:pt idx="7">
                  <c:v>0.18276374442793461</c:v>
                </c:pt>
              </c:numCache>
            </c:numRef>
          </c:val>
          <c:extLst>
            <c:ext xmlns:c16="http://schemas.microsoft.com/office/drawing/2014/chart" uri="{C3380CC4-5D6E-409C-BE32-E72D297353CC}">
              <c16:uniqueId val="{00000000-2D0B-4135-9D86-55F009B39F0E}"/>
            </c:ext>
          </c:extLst>
        </c:ser>
        <c:ser>
          <c:idx val="1"/>
          <c:order val="1"/>
          <c:tx>
            <c:strRef>
              <c:f>'Age and Households'!$C$42</c:f>
              <c:strCache>
                <c:ptCount val="1"/>
                <c:pt idx="0">
                  <c:v>Franklin County</c:v>
                </c:pt>
              </c:strCache>
            </c:strRef>
          </c:tx>
          <c:spPr>
            <a:solidFill>
              <a:schemeClr val="accent2"/>
            </a:solidFill>
            <a:ln>
              <a:noFill/>
            </a:ln>
            <a:effectLst/>
          </c:spPr>
          <c:invertIfNegative val="0"/>
          <c:cat>
            <c:strRef>
              <c:f>'Age and Households'!$A$43:$A$50</c:f>
              <c:strCache>
                <c:ptCount val="8"/>
                <c:pt idx="0">
                  <c:v>Under 10</c:v>
                </c:pt>
                <c:pt idx="1">
                  <c:v>10-19</c:v>
                </c:pt>
                <c:pt idx="2">
                  <c:v>20-29</c:v>
                </c:pt>
                <c:pt idx="3">
                  <c:v>30-39</c:v>
                </c:pt>
                <c:pt idx="4">
                  <c:v>40-49</c:v>
                </c:pt>
                <c:pt idx="5">
                  <c:v>50-59</c:v>
                </c:pt>
                <c:pt idx="6">
                  <c:v>60-69</c:v>
                </c:pt>
                <c:pt idx="7">
                  <c:v>70+</c:v>
                </c:pt>
              </c:strCache>
            </c:strRef>
          </c:cat>
          <c:val>
            <c:numRef>
              <c:f>'Age and Households'!$C$43:$C$50</c:f>
              <c:numCache>
                <c:formatCode>0.0%</c:formatCode>
                <c:ptCount val="8"/>
                <c:pt idx="0">
                  <c:v>8.9727050516023907E-2</c:v>
                </c:pt>
                <c:pt idx="1">
                  <c:v>0.1243549701249321</c:v>
                </c:pt>
                <c:pt idx="2">
                  <c:v>0.11046985334057577</c:v>
                </c:pt>
                <c:pt idx="3">
                  <c:v>0.10683731667571972</c:v>
                </c:pt>
                <c:pt idx="4">
                  <c:v>0.10497012493210212</c:v>
                </c:pt>
                <c:pt idx="5">
                  <c:v>0.14139733840304183</c:v>
                </c:pt>
                <c:pt idx="6">
                  <c:v>0.1640752308527974</c:v>
                </c:pt>
                <c:pt idx="7">
                  <c:v>0.15816811515480717</c:v>
                </c:pt>
              </c:numCache>
            </c:numRef>
          </c:val>
          <c:extLst>
            <c:ext xmlns:c16="http://schemas.microsoft.com/office/drawing/2014/chart" uri="{C3380CC4-5D6E-409C-BE32-E72D297353CC}">
              <c16:uniqueId val="{00000001-2D0B-4135-9D86-55F009B39F0E}"/>
            </c:ext>
          </c:extLst>
        </c:ser>
        <c:ser>
          <c:idx val="2"/>
          <c:order val="2"/>
          <c:tx>
            <c:strRef>
              <c:f>'Age and Households'!$D$42</c:f>
              <c:strCache>
                <c:ptCount val="1"/>
                <c:pt idx="0">
                  <c:v>Maine</c:v>
                </c:pt>
              </c:strCache>
            </c:strRef>
          </c:tx>
          <c:spPr>
            <a:solidFill>
              <a:schemeClr val="accent3"/>
            </a:solidFill>
            <a:ln>
              <a:noFill/>
            </a:ln>
            <a:effectLst/>
          </c:spPr>
          <c:invertIfNegative val="0"/>
          <c:cat>
            <c:strRef>
              <c:f>'Age and Households'!$A$43:$A$50</c:f>
              <c:strCache>
                <c:ptCount val="8"/>
                <c:pt idx="0">
                  <c:v>Under 10</c:v>
                </c:pt>
                <c:pt idx="1">
                  <c:v>10-19</c:v>
                </c:pt>
                <c:pt idx="2">
                  <c:v>20-29</c:v>
                </c:pt>
                <c:pt idx="3">
                  <c:v>30-39</c:v>
                </c:pt>
                <c:pt idx="4">
                  <c:v>40-49</c:v>
                </c:pt>
                <c:pt idx="5">
                  <c:v>50-59</c:v>
                </c:pt>
                <c:pt idx="6">
                  <c:v>60-69</c:v>
                </c:pt>
                <c:pt idx="7">
                  <c:v>70+</c:v>
                </c:pt>
              </c:strCache>
            </c:strRef>
          </c:cat>
          <c:val>
            <c:numRef>
              <c:f>'Age and Households'!$D$43:$D$50</c:f>
              <c:numCache>
                <c:formatCode>0.0%</c:formatCode>
                <c:ptCount val="8"/>
                <c:pt idx="0">
                  <c:v>9.5734677863911058E-2</c:v>
                </c:pt>
                <c:pt idx="1">
                  <c:v>0.1140389574260529</c:v>
                </c:pt>
                <c:pt idx="2">
                  <c:v>0.11087899738615152</c:v>
                </c:pt>
                <c:pt idx="3">
                  <c:v>0.12141806968647764</c:v>
                </c:pt>
                <c:pt idx="4">
                  <c:v>0.11608540773760807</c:v>
                </c:pt>
                <c:pt idx="5">
                  <c:v>0.14440980681303534</c:v>
                </c:pt>
                <c:pt idx="6">
                  <c:v>0.1510475579491162</c:v>
                </c:pt>
                <c:pt idx="7">
                  <c:v>0.14638652513764727</c:v>
                </c:pt>
              </c:numCache>
            </c:numRef>
          </c:val>
          <c:extLst>
            <c:ext xmlns:c16="http://schemas.microsoft.com/office/drawing/2014/chart" uri="{C3380CC4-5D6E-409C-BE32-E72D297353CC}">
              <c16:uniqueId val="{00000002-2D0B-4135-9D86-55F009B39F0E}"/>
            </c:ext>
          </c:extLst>
        </c:ser>
        <c:dLbls>
          <c:showLegendKey val="0"/>
          <c:showVal val="0"/>
          <c:showCatName val="0"/>
          <c:showSerName val="0"/>
          <c:showPercent val="0"/>
          <c:showBubbleSize val="0"/>
        </c:dLbls>
        <c:gapWidth val="219"/>
        <c:overlap val="-27"/>
        <c:axId val="2082565216"/>
        <c:axId val="604952272"/>
      </c:barChart>
      <c:catAx>
        <c:axId val="20825652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Age Cohorts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952272"/>
        <c:crosses val="autoZero"/>
        <c:auto val="1"/>
        <c:lblAlgn val="ctr"/>
        <c:lblOffset val="100"/>
        <c:noMultiLvlLbl val="0"/>
      </c:catAx>
      <c:valAx>
        <c:axId val="60495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of</a:t>
                </a:r>
                <a:r>
                  <a:rPr lang="en-US" b="1" baseline="0"/>
                  <a:t> Total Population</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56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n-US" b="1"/>
              <a:t>Town of Carrabassett Valley</a:t>
            </a:r>
            <a:r>
              <a:rPr lang="en-US" b="1" baseline="0"/>
              <a:t> Population by Race </a:t>
            </a:r>
            <a:r>
              <a:rPr lang="en-US" b="1"/>
              <a:t>(2020)</a:t>
            </a:r>
          </a:p>
          <a:p>
            <a:pPr algn="ctr">
              <a:defRPr b="1"/>
            </a:pPr>
            <a:r>
              <a:rPr lang="en-US" sz="1100" b="0" i="1"/>
              <a:t>Source: U.S.</a:t>
            </a:r>
            <a:r>
              <a:rPr lang="en-US" sz="1100" b="0" i="1" baseline="0"/>
              <a:t> Census Bureau Decennial Census, DP1</a:t>
            </a:r>
            <a:r>
              <a:rPr lang="en-US" sz="1100" b="0" i="1"/>
              <a:t>  </a:t>
            </a:r>
          </a:p>
        </c:rich>
      </c:tx>
      <c:layout>
        <c:manualLayout>
          <c:xMode val="edge"/>
          <c:yMode val="edge"/>
          <c:x val="0.16603624066222492"/>
          <c:y val="2.8489345212098571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E91-47C2-B8F2-BA6066FA9CC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E91-47C2-B8F2-BA6066FA9CC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E91-47C2-B8F2-BA6066FA9CC1}"/>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7E91-47C2-B8F2-BA6066FA9CC1}"/>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7E91-47C2-B8F2-BA6066FA9CC1}"/>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7E91-47C2-B8F2-BA6066FA9CC1}"/>
              </c:ext>
            </c:extLst>
          </c:dPt>
          <c:dPt>
            <c:idx val="6"/>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D-7E91-47C2-B8F2-BA6066FA9CC1}"/>
              </c:ext>
            </c:extLst>
          </c:dPt>
          <c:dLbls>
            <c:dLbl>
              <c:idx val="0"/>
              <c:layout>
                <c:manualLayout>
                  <c:x val="-9.6890094412758046E-2"/>
                  <c:y val="-0.538208266384237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91-47C2-B8F2-BA6066FA9CC1}"/>
                </c:ext>
              </c:extLst>
            </c:dLbl>
            <c:dLbl>
              <c:idx val="1"/>
              <c:delete val="1"/>
              <c:extLst>
                <c:ext xmlns:c15="http://schemas.microsoft.com/office/drawing/2012/chart" uri="{CE6537A1-D6FC-4f65-9D91-7224C49458BB}"/>
                <c:ext xmlns:c16="http://schemas.microsoft.com/office/drawing/2014/chart" uri="{C3380CC4-5D6E-409C-BE32-E72D297353CC}">
                  <c16:uniqueId val="{00000003-7E91-47C2-B8F2-BA6066FA9CC1}"/>
                </c:ext>
              </c:extLst>
            </c:dLbl>
            <c:dLbl>
              <c:idx val="2"/>
              <c:delete val="1"/>
              <c:extLst>
                <c:ext xmlns:c15="http://schemas.microsoft.com/office/drawing/2012/chart" uri="{CE6537A1-D6FC-4f65-9D91-7224C49458BB}"/>
                <c:ext xmlns:c16="http://schemas.microsoft.com/office/drawing/2014/chart" uri="{C3380CC4-5D6E-409C-BE32-E72D297353CC}">
                  <c16:uniqueId val="{00000005-7E91-47C2-B8F2-BA6066FA9CC1}"/>
                </c:ext>
              </c:extLst>
            </c:dLbl>
            <c:dLbl>
              <c:idx val="3"/>
              <c:delete val="1"/>
              <c:extLst>
                <c:ext xmlns:c15="http://schemas.microsoft.com/office/drawing/2012/chart" uri="{CE6537A1-D6FC-4f65-9D91-7224C49458BB}"/>
                <c:ext xmlns:c16="http://schemas.microsoft.com/office/drawing/2014/chart" uri="{C3380CC4-5D6E-409C-BE32-E72D297353CC}">
                  <c16:uniqueId val="{00000007-7E91-47C2-B8F2-BA6066FA9CC1}"/>
                </c:ext>
              </c:extLst>
            </c:dLbl>
            <c:dLbl>
              <c:idx val="4"/>
              <c:layout>
                <c:manualLayout>
                  <c:x val="7.5413615740824946E-2"/>
                  <c:y val="-0.135222285193274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91-47C2-B8F2-BA6066FA9CC1}"/>
                </c:ext>
              </c:extLst>
            </c:dLbl>
            <c:dLbl>
              <c:idx val="5"/>
              <c:layout>
                <c:manualLayout>
                  <c:x val="0.11880227137253262"/>
                  <c:y val="-0.138645634185509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E91-47C2-B8F2-BA6066FA9CC1}"/>
                </c:ext>
              </c:extLst>
            </c:dLbl>
            <c:dLbl>
              <c:idx val="6"/>
              <c:layout>
                <c:manualLayout>
                  <c:x val="0.12500065074849098"/>
                  <c:y val="-9.414209728645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E91-47C2-B8F2-BA6066FA9C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 Pop Race Ethinicity'!$A$6:$A$12</c:f>
              <c:strCache>
                <c:ptCount val="7"/>
                <c:pt idx="0">
                  <c:v>White alone</c:v>
                </c:pt>
                <c:pt idx="1">
                  <c:v>Black or African American alone</c:v>
                </c:pt>
                <c:pt idx="2">
                  <c:v>American Indian and Alaska Native alone</c:v>
                </c:pt>
                <c:pt idx="3">
                  <c:v>Asian alone</c:v>
                </c:pt>
                <c:pt idx="4">
                  <c:v>Native Hawaiian and Other Pacific Islander alone</c:v>
                </c:pt>
                <c:pt idx="5">
                  <c:v>Some Other Race alone</c:v>
                </c:pt>
                <c:pt idx="6">
                  <c:v>Population of two or more Races</c:v>
                </c:pt>
              </c:strCache>
            </c:strRef>
          </c:cat>
          <c:val>
            <c:numRef>
              <c:f>'Total Pop Race Ethinicity'!$C$6:$C$12</c:f>
              <c:numCache>
                <c:formatCode>0.0%</c:formatCode>
                <c:ptCount val="7"/>
                <c:pt idx="0">
                  <c:v>0.94502228826151558</c:v>
                </c:pt>
                <c:pt idx="1">
                  <c:v>0</c:v>
                </c:pt>
                <c:pt idx="2">
                  <c:v>0</c:v>
                </c:pt>
                <c:pt idx="3">
                  <c:v>0</c:v>
                </c:pt>
                <c:pt idx="4">
                  <c:v>7.429420505200594E-3</c:v>
                </c:pt>
                <c:pt idx="5">
                  <c:v>8.9153046062407128E-3</c:v>
                </c:pt>
                <c:pt idx="6">
                  <c:v>3.8632986627043092E-2</c:v>
                </c:pt>
              </c:numCache>
            </c:numRef>
          </c:val>
          <c:extLst>
            <c:ext xmlns:c16="http://schemas.microsoft.com/office/drawing/2014/chart" uri="{C3380CC4-5D6E-409C-BE32-E72D297353CC}">
              <c16:uniqueId val="{0000000E-7E91-47C2-B8F2-BA6066FA9CC1}"/>
            </c:ext>
          </c:extLst>
        </c:ser>
        <c:dLbls>
          <c:showLegendKey val="0"/>
          <c:showVal val="0"/>
          <c:showCatName val="0"/>
          <c:showSerName val="0"/>
          <c:showPercent val="0"/>
          <c:showBubbleSize val="0"/>
          <c:showLeaderLines val="1"/>
        </c:dLbls>
        <c:firstSliceAng val="63"/>
        <c:holeSize val="6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Comparative Population by Race, Carrabassett Valley, Franklin County,</a:t>
            </a:r>
            <a:r>
              <a:rPr lang="en-US" b="1" baseline="0"/>
              <a:t> Maine (2020)</a:t>
            </a:r>
            <a:br>
              <a:rPr lang="en-US" b="1" baseline="0"/>
            </a:br>
            <a:r>
              <a:rPr lang="en-US" sz="1100" i="1" baseline="0"/>
              <a:t>Source: U.S. Census Bureau Decennial Census, DP1</a:t>
            </a:r>
            <a:endParaRPr lang="en-US"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 Pop Race Ethinicity'!$B$2:$C$2</c:f>
              <c:strCache>
                <c:ptCount val="1"/>
                <c:pt idx="0">
                  <c:v>Carrabassett Valley</c:v>
                </c:pt>
              </c:strCache>
            </c:strRef>
          </c:tx>
          <c:spPr>
            <a:solidFill>
              <a:schemeClr val="accent1"/>
            </a:solidFill>
            <a:ln>
              <a:noFill/>
            </a:ln>
            <a:effectLst/>
          </c:spPr>
          <c:invertIfNegative val="0"/>
          <c:dLbls>
            <c:dLbl>
              <c:idx val="0"/>
              <c:layout>
                <c:manualLayout>
                  <c:x val="-1.9230769230769249E-2"/>
                  <c:y val="-9.62348129435823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2B-4C83-972C-1C00829C5726}"/>
                </c:ext>
              </c:extLst>
            </c:dLbl>
            <c:dLbl>
              <c:idx val="1"/>
              <c:layout>
                <c:manualLayout>
                  <c:x val="-8.547008547008586E-3"/>
                  <c:y val="-2.16528329123060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2B-4C83-972C-1C00829C5726}"/>
                </c:ext>
              </c:extLst>
            </c:dLbl>
            <c:dLbl>
              <c:idx val="2"/>
              <c:layout>
                <c:manualLayout>
                  <c:x val="-1.4957264957264958E-2"/>
                  <c:y val="-2.40587032358955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2B-4C83-972C-1C00829C5726}"/>
                </c:ext>
              </c:extLst>
            </c:dLbl>
            <c:dLbl>
              <c:idx val="3"/>
              <c:layout>
                <c:manualLayout>
                  <c:x val="-2.13675213675221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2B-4C83-972C-1C00829C5726}"/>
                </c:ext>
              </c:extLst>
            </c:dLbl>
            <c:dLbl>
              <c:idx val="4"/>
              <c:layout>
                <c:manualLayout>
                  <c:x val="-8.5470085470086259E-3"/>
                  <c:y val="-1.4435221941537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2B-4C83-972C-1C00829C5726}"/>
                </c:ext>
              </c:extLst>
            </c:dLbl>
            <c:dLbl>
              <c:idx val="5"/>
              <c:layout>
                <c:manualLayout>
                  <c:x val="-1.282051282051282E-2"/>
                  <c:y val="-1.2029351617947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2B-4C83-972C-1C00829C57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Pop Race Ethinicity'!$A$6:$A$12</c:f>
              <c:strCache>
                <c:ptCount val="7"/>
                <c:pt idx="0">
                  <c:v>White alone</c:v>
                </c:pt>
                <c:pt idx="1">
                  <c:v>Black or African American alone</c:v>
                </c:pt>
                <c:pt idx="2">
                  <c:v>American Indian and Alaska Native alone</c:v>
                </c:pt>
                <c:pt idx="3">
                  <c:v>Asian alone</c:v>
                </c:pt>
                <c:pt idx="4">
                  <c:v>Native Hawaiian and Other Pacific Islander alone</c:v>
                </c:pt>
                <c:pt idx="5">
                  <c:v>Some Other Race alone</c:v>
                </c:pt>
                <c:pt idx="6">
                  <c:v>Population of two or more Races</c:v>
                </c:pt>
              </c:strCache>
            </c:strRef>
          </c:cat>
          <c:val>
            <c:numRef>
              <c:f>'Total Pop Race Ethinicity'!$C$6:$C$12</c:f>
              <c:numCache>
                <c:formatCode>0.0%</c:formatCode>
                <c:ptCount val="7"/>
                <c:pt idx="0">
                  <c:v>0.94502228826151558</c:v>
                </c:pt>
                <c:pt idx="1">
                  <c:v>0</c:v>
                </c:pt>
                <c:pt idx="2">
                  <c:v>0</c:v>
                </c:pt>
                <c:pt idx="3">
                  <c:v>0</c:v>
                </c:pt>
                <c:pt idx="4">
                  <c:v>7.429420505200594E-3</c:v>
                </c:pt>
                <c:pt idx="5">
                  <c:v>8.9153046062407128E-3</c:v>
                </c:pt>
                <c:pt idx="6">
                  <c:v>3.8632986627043092E-2</c:v>
                </c:pt>
              </c:numCache>
            </c:numRef>
          </c:val>
          <c:extLst>
            <c:ext xmlns:c16="http://schemas.microsoft.com/office/drawing/2014/chart" uri="{C3380CC4-5D6E-409C-BE32-E72D297353CC}">
              <c16:uniqueId val="{00000000-962B-4C83-972C-1C00829C5726}"/>
            </c:ext>
          </c:extLst>
        </c:ser>
        <c:ser>
          <c:idx val="1"/>
          <c:order val="1"/>
          <c:tx>
            <c:strRef>
              <c:f>'Total Pop Race Ethinicity'!$D$2:$E$2</c:f>
              <c:strCache>
                <c:ptCount val="1"/>
                <c:pt idx="0">
                  <c:v>Franklin County</c:v>
                </c:pt>
              </c:strCache>
            </c:strRef>
          </c:tx>
          <c:spPr>
            <a:solidFill>
              <a:schemeClr val="accent2"/>
            </a:solidFill>
            <a:ln>
              <a:noFill/>
            </a:ln>
            <a:effectLst/>
          </c:spPr>
          <c:invertIfNegative val="0"/>
          <c:dLbls>
            <c:dLbl>
              <c:idx val="2"/>
              <c:layout>
                <c:manualLayout>
                  <c:x val="6.4102564102563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2B-4C83-972C-1C00829C5726}"/>
                </c:ext>
              </c:extLst>
            </c:dLbl>
            <c:dLbl>
              <c:idx val="3"/>
              <c:layout>
                <c:manualLayout>
                  <c:x val="2.136752136752137E-3"/>
                  <c:y val="-1.92469625887164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2B-4C83-972C-1C00829C5726}"/>
                </c:ext>
              </c:extLst>
            </c:dLbl>
            <c:dLbl>
              <c:idx val="6"/>
              <c:layout>
                <c:manualLayout>
                  <c:x val="4.2735042735041169E-3"/>
                  <c:y val="-1.68410922651269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2B-4C83-972C-1C00829C57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Pop Race Ethinicity'!$A$6:$A$12</c:f>
              <c:strCache>
                <c:ptCount val="7"/>
                <c:pt idx="0">
                  <c:v>White alone</c:v>
                </c:pt>
                <c:pt idx="1">
                  <c:v>Black or African American alone</c:v>
                </c:pt>
                <c:pt idx="2">
                  <c:v>American Indian and Alaska Native alone</c:v>
                </c:pt>
                <c:pt idx="3">
                  <c:v>Asian alone</c:v>
                </c:pt>
                <c:pt idx="4">
                  <c:v>Native Hawaiian and Other Pacific Islander alone</c:v>
                </c:pt>
                <c:pt idx="5">
                  <c:v>Some Other Race alone</c:v>
                </c:pt>
                <c:pt idx="6">
                  <c:v>Population of two or more Races</c:v>
                </c:pt>
              </c:strCache>
            </c:strRef>
          </c:cat>
          <c:val>
            <c:numRef>
              <c:f>'Total Pop Race Ethinicity'!$E$6:$E$12</c:f>
              <c:numCache>
                <c:formatCode>0.0%</c:formatCode>
                <c:ptCount val="7"/>
                <c:pt idx="0">
                  <c:v>0.92900000000000005</c:v>
                </c:pt>
                <c:pt idx="1">
                  <c:v>6.0000000000000001E-3</c:v>
                </c:pt>
                <c:pt idx="2">
                  <c:v>2E-3</c:v>
                </c:pt>
                <c:pt idx="3">
                  <c:v>1.2999999999999999E-2</c:v>
                </c:pt>
                <c:pt idx="4">
                  <c:v>1E-3</c:v>
                </c:pt>
                <c:pt idx="5">
                  <c:v>6.0000000000000001E-3</c:v>
                </c:pt>
                <c:pt idx="6">
                  <c:v>4.2999999999999997E-2</c:v>
                </c:pt>
              </c:numCache>
            </c:numRef>
          </c:val>
          <c:extLst>
            <c:ext xmlns:c16="http://schemas.microsoft.com/office/drawing/2014/chart" uri="{C3380CC4-5D6E-409C-BE32-E72D297353CC}">
              <c16:uniqueId val="{00000001-962B-4C83-972C-1C00829C5726}"/>
            </c:ext>
          </c:extLst>
        </c:ser>
        <c:ser>
          <c:idx val="2"/>
          <c:order val="2"/>
          <c:tx>
            <c:strRef>
              <c:f>'Total Pop Race Ethinicity'!$F$2:$G$2</c:f>
              <c:strCache>
                <c:ptCount val="1"/>
                <c:pt idx="0">
                  <c:v>Maine</c:v>
                </c:pt>
              </c:strCache>
            </c:strRef>
          </c:tx>
          <c:spPr>
            <a:solidFill>
              <a:schemeClr val="accent3"/>
            </a:solidFill>
            <a:ln>
              <a:noFill/>
            </a:ln>
            <a:effectLst/>
          </c:spPr>
          <c:invertIfNegative val="0"/>
          <c:dLbls>
            <c:dLbl>
              <c:idx val="0"/>
              <c:layout>
                <c:manualLayout>
                  <c:x val="4.7008547008547008E-2"/>
                  <c:y val="7.21761097076867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2B-4C83-972C-1C00829C5726}"/>
                </c:ext>
              </c:extLst>
            </c:dLbl>
            <c:dLbl>
              <c:idx val="1"/>
              <c:layout>
                <c:manualLayout>
                  <c:x val="1.4957264957264918E-2"/>
                  <c:y val="-2.64645735594852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2B-4C83-972C-1C00829C5726}"/>
                </c:ext>
              </c:extLst>
            </c:dLbl>
            <c:dLbl>
              <c:idx val="2"/>
              <c:layout>
                <c:manualLayout>
                  <c:x val="1.7094017094017096E-2"/>
                  <c:y val="-1.92469625887165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2B-4C83-972C-1C00829C5726}"/>
                </c:ext>
              </c:extLst>
            </c:dLbl>
            <c:dLbl>
              <c:idx val="4"/>
              <c:layout>
                <c:manualLayout>
                  <c:x val="8.5470085470085479E-3"/>
                  <c:y val="-2.16528329123060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2B-4C83-972C-1C00829C5726}"/>
                </c:ext>
              </c:extLst>
            </c:dLbl>
            <c:dLbl>
              <c:idx val="5"/>
              <c:layout>
                <c:manualLayout>
                  <c:x val="1.282051282051282E-2"/>
                  <c:y val="-2.88704438830747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2B-4C83-972C-1C00829C5726}"/>
                </c:ext>
              </c:extLst>
            </c:dLbl>
            <c:dLbl>
              <c:idx val="6"/>
              <c:layout>
                <c:manualLayout>
                  <c:x val="1.282051282051282E-2"/>
                  <c:y val="-8.821422614001582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2B-4C83-972C-1C00829C57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Pop Race Ethinicity'!$A$6:$A$12</c:f>
              <c:strCache>
                <c:ptCount val="7"/>
                <c:pt idx="0">
                  <c:v>White alone</c:v>
                </c:pt>
                <c:pt idx="1">
                  <c:v>Black or African American alone</c:v>
                </c:pt>
                <c:pt idx="2">
                  <c:v>American Indian and Alaska Native alone</c:v>
                </c:pt>
                <c:pt idx="3">
                  <c:v>Asian alone</c:v>
                </c:pt>
                <c:pt idx="4">
                  <c:v>Native Hawaiian and Other Pacific Islander alone</c:v>
                </c:pt>
                <c:pt idx="5">
                  <c:v>Some Other Race alone</c:v>
                </c:pt>
                <c:pt idx="6">
                  <c:v>Population of two or more Races</c:v>
                </c:pt>
              </c:strCache>
            </c:strRef>
          </c:cat>
          <c:val>
            <c:numRef>
              <c:f>'Total Pop Race Ethinicity'!$G$6:$G$12</c:f>
              <c:numCache>
                <c:formatCode>0.0%</c:formatCode>
                <c:ptCount val="7"/>
                <c:pt idx="0">
                  <c:v>0.95227953846883495</c:v>
                </c:pt>
                <c:pt idx="1">
                  <c:v>1.1824345942104594E-2</c:v>
                </c:pt>
                <c:pt idx="2">
                  <c:v>6.4500538633699726E-3</c:v>
                </c:pt>
                <c:pt idx="3">
                  <c:v>1.0216349320704237E-2</c:v>
                </c:pt>
                <c:pt idx="4">
                  <c:v>2.574601332017426E-4</c:v>
                </c:pt>
                <c:pt idx="5">
                  <c:v>3.2077123613234657E-3</c:v>
                </c:pt>
                <c:pt idx="6">
                  <c:v>1.5764539910461086E-2</c:v>
                </c:pt>
              </c:numCache>
            </c:numRef>
          </c:val>
          <c:extLst>
            <c:ext xmlns:c16="http://schemas.microsoft.com/office/drawing/2014/chart" uri="{C3380CC4-5D6E-409C-BE32-E72D297353CC}">
              <c16:uniqueId val="{00000002-962B-4C83-972C-1C00829C5726}"/>
            </c:ext>
          </c:extLst>
        </c:ser>
        <c:dLbls>
          <c:dLblPos val="outEnd"/>
          <c:showLegendKey val="0"/>
          <c:showVal val="1"/>
          <c:showCatName val="0"/>
          <c:showSerName val="0"/>
          <c:showPercent val="0"/>
          <c:showBubbleSize val="0"/>
        </c:dLbls>
        <c:gapWidth val="219"/>
        <c:overlap val="-27"/>
        <c:axId val="701576975"/>
        <c:axId val="643327039"/>
      </c:barChart>
      <c:catAx>
        <c:axId val="7015769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43327039"/>
        <c:crosses val="autoZero"/>
        <c:auto val="1"/>
        <c:lblAlgn val="ctr"/>
        <c:lblOffset val="100"/>
        <c:noMultiLvlLbl val="0"/>
      </c:catAx>
      <c:valAx>
        <c:axId val="6433270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576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Town of Carrabassett Valley Educational Attainment, Population Over the Age of 25</a:t>
            </a:r>
          </a:p>
          <a:p>
            <a:pPr>
              <a:defRPr/>
            </a:pPr>
            <a:r>
              <a:rPr lang="en-US" sz="1100" b="0" i="1" u="none" strike="noStrike" kern="1200" spc="0" baseline="0">
                <a:solidFill>
                  <a:sysClr val="windowText" lastClr="000000">
                    <a:lumMod val="65000"/>
                    <a:lumOff val="35000"/>
                  </a:sysClr>
                </a:solidFill>
              </a:rPr>
              <a:t>Source: U.S. Census (2022 </a:t>
            </a:r>
            <a:r>
              <a:rPr lang="en-US" sz="1100" b="0" i="1" u="none" strike="noStrike" kern="1200" spc="0" baseline="0">
                <a:solidFill>
                  <a:sysClr val="windowText" lastClr="000000">
                    <a:lumMod val="65000"/>
                    <a:lumOff val="35000"/>
                  </a:sysClr>
                </a:solidFill>
                <a:effectLst/>
              </a:rPr>
              <a:t>ACS 5-Year Estimates</a:t>
            </a:r>
            <a:r>
              <a:rPr lang="en-US" sz="1100" b="0" i="0" u="none" strike="noStrike" kern="1200" spc="0" baseline="0">
                <a:solidFill>
                  <a:sysClr val="windowText" lastClr="000000">
                    <a:lumMod val="65000"/>
                    <a:lumOff val="35000"/>
                  </a:sysClr>
                </a:solidFill>
                <a:effectLst/>
              </a:rPr>
              <a:t>)</a:t>
            </a:r>
            <a:endParaRPr lang="en-US" sz="11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1D-4DE3-9991-564D0C69E2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1D-4DE3-9991-564D0C69E2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1D-4DE3-9991-564D0C69E2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1D-4DE3-9991-564D0C69E2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E1D-4DE3-9991-564D0C69E2C3}"/>
              </c:ext>
            </c:extLst>
          </c:dPt>
          <c:dLbls>
            <c:dLbl>
              <c:idx val="0"/>
              <c:layout>
                <c:manualLayout>
                  <c:x val="6.9380634220388626E-3"/>
                  <c:y val="-0.111860081186849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1D-4DE3-9991-564D0C69E2C3}"/>
                </c:ext>
              </c:extLst>
            </c:dLbl>
            <c:dLbl>
              <c:idx val="1"/>
              <c:layout>
                <c:manualLayout>
                  <c:x val="6.3899578897684564E-2"/>
                  <c:y val="-0.106452188532161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1D-4DE3-9991-564D0C69E2C3}"/>
                </c:ext>
              </c:extLst>
            </c:dLbl>
            <c:dLbl>
              <c:idx val="2"/>
              <c:layout>
                <c:manualLayout>
                  <c:x val="7.6595343190750426E-2"/>
                  <c:y val="-9.5259985342821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1D-4DE3-9991-564D0C69E2C3}"/>
                </c:ext>
              </c:extLst>
            </c:dLbl>
            <c:dLbl>
              <c:idx val="3"/>
              <c:layout>
                <c:manualLayout>
                  <c:x val="8.3735779113187137E-2"/>
                  <c:y val="8.2678829356105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1D-4DE3-9991-564D0C69E2C3}"/>
                </c:ext>
              </c:extLst>
            </c:dLbl>
            <c:dLbl>
              <c:idx val="4"/>
              <c:layout>
                <c:manualLayout>
                  <c:x val="-7.6935792120208513E-2"/>
                  <c:y val="-8.9890924109262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1D-4DE3-9991-564D0C69E2C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 Marital Lang Revised'!$A$42:$A$46</c:f>
              <c:strCache>
                <c:ptCount val="5"/>
                <c:pt idx="0">
                  <c:v>Less than high school graduate</c:v>
                </c:pt>
                <c:pt idx="1">
                  <c:v>High school graduate (includes equivalency)</c:v>
                </c:pt>
                <c:pt idx="2">
                  <c:v>Some college or associate's degree</c:v>
                </c:pt>
                <c:pt idx="3">
                  <c:v>Bachelor's degree</c:v>
                </c:pt>
                <c:pt idx="4">
                  <c:v>Graduate or professional degree</c:v>
                </c:pt>
              </c:strCache>
            </c:strRef>
          </c:cat>
          <c:val>
            <c:numRef>
              <c:f>'Edu Marital Lang Revised'!$B$42:$B$46</c:f>
              <c:numCache>
                <c:formatCode>0.00%</c:formatCode>
                <c:ptCount val="5"/>
                <c:pt idx="0">
                  <c:v>2.7E-2</c:v>
                </c:pt>
                <c:pt idx="1">
                  <c:v>8.5000000000000006E-2</c:v>
                </c:pt>
                <c:pt idx="2">
                  <c:v>0.187</c:v>
                </c:pt>
                <c:pt idx="3">
                  <c:v>0.35299999999999998</c:v>
                </c:pt>
                <c:pt idx="4">
                  <c:v>0.34699999999999998</c:v>
                </c:pt>
              </c:numCache>
            </c:numRef>
          </c:val>
          <c:extLst>
            <c:ext xmlns:c16="http://schemas.microsoft.com/office/drawing/2014/chart" uri="{C3380CC4-5D6E-409C-BE32-E72D297353CC}">
              <c16:uniqueId val="{0000000A-8E1D-4DE3-9991-564D0C69E2C3}"/>
            </c:ext>
          </c:extLst>
        </c:ser>
        <c:dLbls>
          <c:showLegendKey val="0"/>
          <c:showVal val="0"/>
          <c:showCatName val="0"/>
          <c:showSerName val="0"/>
          <c:showPercent val="0"/>
          <c:showBubbleSize val="0"/>
          <c:showLeaderLines val="1"/>
        </c:dLbls>
        <c:firstSliceAng val="0"/>
        <c:holeSize val="60"/>
      </c:doughnut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Town of Carrabassett Valley Marital Status, </a:t>
            </a:r>
            <a:br>
              <a:rPr lang="en-US" sz="1400" b="1" i="0" u="none" strike="noStrike" kern="1200" spc="0" baseline="0">
                <a:solidFill>
                  <a:sysClr val="windowText" lastClr="000000">
                    <a:lumMod val="65000"/>
                    <a:lumOff val="35000"/>
                  </a:sysClr>
                </a:solidFill>
              </a:rPr>
            </a:br>
            <a:r>
              <a:rPr lang="en-US" sz="1400" b="1" i="0" u="none" strike="noStrike" kern="1200" spc="0" baseline="0">
                <a:solidFill>
                  <a:sysClr val="windowText" lastClr="000000">
                    <a:lumMod val="65000"/>
                    <a:lumOff val="35000"/>
                  </a:sysClr>
                </a:solidFill>
              </a:rPr>
              <a:t>Population 15 years and over</a:t>
            </a:r>
          </a:p>
          <a:p>
            <a:pPr>
              <a:defRPr/>
            </a:pPr>
            <a:r>
              <a:rPr lang="en-US" sz="1100" b="0" i="1" u="none" strike="noStrike" kern="1200" spc="0" baseline="0">
                <a:solidFill>
                  <a:sysClr val="windowText" lastClr="000000">
                    <a:lumMod val="65000"/>
                    <a:lumOff val="35000"/>
                  </a:sysClr>
                </a:solidFill>
              </a:rPr>
              <a:t>Source: U.S. Census Bureau (2022 </a:t>
            </a:r>
            <a:r>
              <a:rPr lang="en-US" sz="1100" b="0" i="1" u="none" strike="noStrike" kern="1200" spc="0" baseline="0">
                <a:solidFill>
                  <a:sysClr val="windowText" lastClr="000000">
                    <a:lumMod val="65000"/>
                    <a:lumOff val="35000"/>
                  </a:sysClr>
                </a:solidFill>
                <a:effectLst/>
              </a:rPr>
              <a:t>ACS 5-Year Estimates</a:t>
            </a:r>
            <a:r>
              <a:rPr lang="en-US" sz="1100" b="0" i="0" u="none" strike="noStrike" kern="1200" spc="0" baseline="0">
                <a:solidFill>
                  <a:sysClr val="windowText" lastClr="000000">
                    <a:lumMod val="65000"/>
                    <a:lumOff val="35000"/>
                  </a:sysClr>
                </a:solidFill>
                <a:effectLst/>
              </a:rPr>
              <a:t>)</a:t>
            </a:r>
            <a:endParaRPr lang="en-US" sz="11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B7-4E48-A659-C7C8A9E723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B7-4E48-A659-C7C8A9E723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B7-4E48-A659-C7C8A9E723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B7-4E48-A659-C7C8A9E723AE}"/>
              </c:ext>
            </c:extLst>
          </c:dPt>
          <c:dLbls>
            <c:dLbl>
              <c:idx val="0"/>
              <c:layout>
                <c:manualLayout>
                  <c:x val="7.5319429786448094E-2"/>
                  <c:y val="-6.3324555800124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B7-4E48-A659-C7C8A9E723AE}"/>
                </c:ext>
              </c:extLst>
            </c:dLbl>
            <c:dLbl>
              <c:idx val="1"/>
              <c:layout>
                <c:manualLayout>
                  <c:x val="0.19726517325022119"/>
                  <c:y val="-5.2770463166770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B7-4E48-A659-C7C8A9E723AE}"/>
                </c:ext>
              </c:extLst>
            </c:dLbl>
            <c:dLbl>
              <c:idx val="2"/>
              <c:layout>
                <c:manualLayout>
                  <c:x val="-0.10759918540921157"/>
                  <c:y val="-6.3324555800124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B7-4E48-A659-C7C8A9E723AE}"/>
                </c:ext>
              </c:extLst>
            </c:dLbl>
            <c:dLbl>
              <c:idx val="3"/>
              <c:layout>
                <c:manualLayout>
                  <c:x val="-5.559291246142601E-2"/>
                  <c:y val="-8.443274106683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B7-4E48-A659-C7C8A9E723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 Marital Lang Revised'!$A$36:$A$39</c:f>
              <c:strCache>
                <c:ptCount val="4"/>
                <c:pt idx="0">
                  <c:v>Never married</c:v>
                </c:pt>
                <c:pt idx="1">
                  <c:v>Now married, except separated</c:v>
                </c:pt>
                <c:pt idx="2">
                  <c:v>Divorced or separated</c:v>
                </c:pt>
                <c:pt idx="3">
                  <c:v>Widowed</c:v>
                </c:pt>
              </c:strCache>
            </c:strRef>
          </c:cat>
          <c:val>
            <c:numRef>
              <c:f>'Edu Marital Lang Revised'!$B$36:$B$39</c:f>
              <c:numCache>
                <c:formatCode>0.00%</c:formatCode>
                <c:ptCount val="4"/>
                <c:pt idx="0">
                  <c:v>0.224</c:v>
                </c:pt>
                <c:pt idx="1">
                  <c:v>0.56100000000000005</c:v>
                </c:pt>
                <c:pt idx="2">
                  <c:v>0.20100000000000001</c:v>
                </c:pt>
                <c:pt idx="3">
                  <c:v>1.4E-2</c:v>
                </c:pt>
              </c:numCache>
            </c:numRef>
          </c:val>
          <c:extLst>
            <c:ext xmlns:c16="http://schemas.microsoft.com/office/drawing/2014/chart" uri="{C3380CC4-5D6E-409C-BE32-E72D297353CC}">
              <c16:uniqueId val="{00000008-9DB7-4E48-A659-C7C8A9E723AE}"/>
            </c:ext>
          </c:extLst>
        </c:ser>
        <c:dLbls>
          <c:showLegendKey val="0"/>
          <c:showVal val="1"/>
          <c:showCatName val="0"/>
          <c:showSerName val="0"/>
          <c:showPercent val="0"/>
          <c:showBubbleSize val="0"/>
          <c:showLeaderLines val="1"/>
        </c:dLbls>
        <c:firstSliceAng val="0"/>
        <c:holeSize val="60"/>
      </c:doughnut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Fogt</dc:creator>
  <cp:keywords/>
  <dc:description/>
  <cp:lastModifiedBy>TOWN OF CARRABASSETT VALLEY</cp:lastModifiedBy>
  <cp:revision>2</cp:revision>
  <dcterms:created xsi:type="dcterms:W3CDTF">2024-02-16T18:48:00Z</dcterms:created>
  <dcterms:modified xsi:type="dcterms:W3CDTF">2024-02-16T18:48:00Z</dcterms:modified>
</cp:coreProperties>
</file>